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8C" w:rsidRDefault="0047540A">
      <w:r>
        <w:rPr>
          <w:noProof/>
          <w:lang w:eastAsia="uk-UA"/>
        </w:rPr>
        <w:drawing>
          <wp:inline distT="0" distB="0" distL="0" distR="0" wp14:anchorId="7BF9EF00" wp14:editId="0169D215">
            <wp:extent cx="9712037" cy="6466840"/>
            <wp:effectExtent l="0" t="0" r="3810" b="1016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3937" w:rsidRDefault="00B23937" w:rsidP="00B23937">
      <w:pPr>
        <w:ind w:firstLine="11199"/>
        <w:rPr>
          <w:sz w:val="20"/>
          <w:szCs w:val="20"/>
        </w:rPr>
      </w:pPr>
      <w:r w:rsidRPr="00B23937">
        <w:rPr>
          <w:sz w:val="20"/>
          <w:szCs w:val="20"/>
        </w:rPr>
        <w:t xml:space="preserve">Всього 9573 </w:t>
      </w:r>
      <w:r w:rsidRPr="00B23937">
        <w:rPr>
          <w:rFonts w:ascii="Times New Roman" w:hAnsi="Times New Roman" w:cs="Times New Roman"/>
          <w:sz w:val="20"/>
          <w:szCs w:val="20"/>
        </w:rPr>
        <w:t>звернення</w:t>
      </w:r>
      <w:r w:rsidRPr="00B23937">
        <w:rPr>
          <w:sz w:val="20"/>
          <w:szCs w:val="20"/>
        </w:rPr>
        <w:t xml:space="preserve"> громадян</w:t>
      </w:r>
    </w:p>
    <w:tbl>
      <w:tblPr>
        <w:tblW w:w="13460" w:type="dxa"/>
        <w:tblLook w:val="04A0" w:firstRow="1" w:lastRow="0" w:firstColumn="1" w:lastColumn="0" w:noHBand="0" w:noVBand="1"/>
      </w:tblPr>
      <w:tblGrid>
        <w:gridCol w:w="486"/>
        <w:gridCol w:w="2560"/>
        <w:gridCol w:w="1780"/>
        <w:gridCol w:w="1780"/>
        <w:gridCol w:w="1780"/>
        <w:gridCol w:w="1780"/>
        <w:gridCol w:w="1780"/>
        <w:gridCol w:w="1540"/>
      </w:tblGrid>
      <w:tr w:rsidR="00FE6F8B" w:rsidRPr="00FE6F8B" w:rsidTr="00FE6F8B">
        <w:trPr>
          <w:trHeight w:val="1283"/>
        </w:trPr>
        <w:tc>
          <w:tcPr>
            <w:tcW w:w="13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 xml:space="preserve"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                                                                                                                                                                     до </w:t>
            </w:r>
            <w:proofErr w:type="spellStart"/>
            <w:r w:rsidRPr="00FE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Мінсоцполітики</w:t>
            </w:r>
            <w:proofErr w:type="spellEnd"/>
            <w:r w:rsidRPr="00FE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у І півріччі 2025 року</w:t>
            </w:r>
          </w:p>
        </w:tc>
      </w:tr>
      <w:tr w:rsidR="00FE6F8B" w:rsidRPr="00FE6F8B" w:rsidTr="00FE6F8B">
        <w:trPr>
          <w:trHeight w:val="338"/>
        </w:trPr>
        <w:tc>
          <w:tcPr>
            <w:tcW w:w="13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FE6F8B" w:rsidRPr="00FE6F8B" w:rsidTr="00FE6F8B">
        <w:trPr>
          <w:trHeight w:val="2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 півріччя 2025 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 півріччя 2024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зміна кількості звернень</w:t>
            </w:r>
          </w:p>
        </w:tc>
      </w:tr>
      <w:tr w:rsidR="00FE6F8B" w:rsidRPr="00FE6F8B" w:rsidTr="00FE6F8B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Вінницька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-0,8%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Волинська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5,4%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Дніпропетровська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-8,1%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Донецька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-61,6%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Житомирська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-82,9%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-53,8%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Івано-Франківська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45,8%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Київська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Кіровоградська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27,9%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Луганська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-61,8%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-15,9%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-5,1%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Полтавська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5,7%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Рівненська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-28,3%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11,4%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Тернопільська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-63,1%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Харківська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-21,4%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Херсонська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-40,8%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Хмельницька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-18,4%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Черкаська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-8,3%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Чернівецька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-28,1%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Чернігівська обл.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36,1%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Київ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Севастополь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77075C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 Крим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-91,7%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країни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-23,6%</w:t>
            </w:r>
          </w:p>
        </w:tc>
      </w:tr>
      <w:tr w:rsidR="00FE6F8B" w:rsidRPr="00FE6F8B" w:rsidTr="00FE6F8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Регіон не визначено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77075C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FE6F8B" w:rsidRPr="00FE6F8B" w:rsidTr="00FE6F8B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F8B" w:rsidRPr="00FE6F8B" w:rsidRDefault="00FE6F8B" w:rsidP="00FE6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6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-19,0%</w:t>
            </w:r>
          </w:p>
        </w:tc>
      </w:tr>
    </w:tbl>
    <w:p w:rsidR="003B6F03" w:rsidRDefault="003B6F03" w:rsidP="00B23937">
      <w:pPr>
        <w:ind w:firstLine="11199"/>
        <w:rPr>
          <w:sz w:val="20"/>
          <w:szCs w:val="20"/>
        </w:rPr>
      </w:pPr>
    </w:p>
    <w:p w:rsidR="003B6F03" w:rsidRDefault="003B6F03" w:rsidP="003B6F03">
      <w:pPr>
        <w:ind w:firstLine="1276"/>
        <w:rPr>
          <w:noProof/>
          <w:lang w:eastAsia="uk-UA"/>
        </w:rPr>
      </w:pPr>
    </w:p>
    <w:p w:rsidR="00B0565A" w:rsidRDefault="00564911" w:rsidP="003B6F03">
      <w:pPr>
        <w:ind w:firstLine="1276"/>
        <w:rPr>
          <w:sz w:val="20"/>
          <w:szCs w:val="20"/>
        </w:rPr>
      </w:pPr>
      <w:r>
        <w:rPr>
          <w:noProof/>
          <w:lang w:eastAsia="uk-UA"/>
        </w:rPr>
        <w:lastRenderedPageBreak/>
        <w:drawing>
          <wp:inline distT="0" distB="0" distL="0" distR="0" wp14:anchorId="42BB194A" wp14:editId="2D1E6428">
            <wp:extent cx="8629650" cy="67437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0CA7" w:rsidRDefault="00110CA7" w:rsidP="003B6F03">
      <w:pPr>
        <w:ind w:firstLine="1276"/>
        <w:rPr>
          <w:sz w:val="20"/>
          <w:szCs w:val="20"/>
        </w:rPr>
      </w:pPr>
    </w:p>
    <w:p w:rsidR="00110CA7" w:rsidRDefault="00110CA7" w:rsidP="003B6F03">
      <w:pPr>
        <w:ind w:firstLine="1276"/>
        <w:rPr>
          <w:sz w:val="20"/>
          <w:szCs w:val="20"/>
        </w:rPr>
      </w:pPr>
    </w:p>
    <w:p w:rsidR="00110CA7" w:rsidRDefault="00110CA7" w:rsidP="003B6F03">
      <w:pPr>
        <w:ind w:firstLine="1276"/>
        <w:rPr>
          <w:sz w:val="20"/>
          <w:szCs w:val="20"/>
        </w:rPr>
      </w:pPr>
    </w:p>
    <w:tbl>
      <w:tblPr>
        <w:tblW w:w="14160" w:type="dxa"/>
        <w:tblLook w:val="04A0" w:firstRow="1" w:lastRow="0" w:firstColumn="1" w:lastColumn="0" w:noHBand="0" w:noVBand="1"/>
      </w:tblPr>
      <w:tblGrid>
        <w:gridCol w:w="388"/>
        <w:gridCol w:w="2796"/>
        <w:gridCol w:w="960"/>
        <w:gridCol w:w="1009"/>
        <w:gridCol w:w="609"/>
        <w:gridCol w:w="609"/>
        <w:gridCol w:w="600"/>
        <w:gridCol w:w="609"/>
        <w:gridCol w:w="609"/>
        <w:gridCol w:w="585"/>
        <w:gridCol w:w="566"/>
        <w:gridCol w:w="549"/>
        <w:gridCol w:w="534"/>
        <w:gridCol w:w="493"/>
        <w:gridCol w:w="480"/>
        <w:gridCol w:w="616"/>
        <w:gridCol w:w="617"/>
        <w:gridCol w:w="1596"/>
      </w:tblGrid>
      <w:tr w:rsidR="00110CA7" w:rsidRPr="00110CA7" w:rsidTr="00110CA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1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Довідка щодо роботи із зверненнями громадян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A115C2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A115C2" w:rsidRDefault="00110CA7" w:rsidP="00110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A115C2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uk-UA"/>
              </w:rPr>
            </w:pPr>
            <w:r w:rsidRPr="00A115C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uk-UA"/>
              </w:rPr>
              <w:t>ЗВГ ЕФ-1.4</w:t>
            </w:r>
          </w:p>
        </w:tc>
      </w:tr>
      <w:tr w:rsidR="00110CA7" w:rsidRPr="00110CA7" w:rsidTr="00110CA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 СОЦІАЛЬНОЇ ПОЛІТИКИ УКРАЇНИ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A115C2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uk-UA"/>
              </w:rPr>
            </w:pPr>
            <w:r w:rsidRPr="00A115C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uk-UA"/>
              </w:rPr>
              <w:t>08.07.2025 12:20</w:t>
            </w:r>
          </w:p>
        </w:tc>
      </w:tr>
      <w:tr w:rsidR="00110CA7" w:rsidRPr="00110CA7" w:rsidTr="00110CA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ДОВІДКА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10CA7" w:rsidRPr="00110CA7" w:rsidTr="00110CA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щодо роботи із зверненнями громадян,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10CA7" w:rsidRPr="00110CA7" w:rsidTr="00110CA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що надійшли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10CA7" w:rsidRPr="00110CA7" w:rsidTr="00110CA7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за </w:t>
            </w:r>
            <w:r w:rsidRPr="00A115C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uk-UA"/>
              </w:rPr>
              <w:t>період з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110CA7" w:rsidRPr="00110CA7" w:rsidTr="00110CA7">
        <w:trPr>
          <w:trHeight w:val="40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2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За формою надходження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звернень</w:t>
            </w:r>
          </w:p>
        </w:tc>
        <w:tc>
          <w:tcPr>
            <w:tcW w:w="844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Кількість громадян, </w:t>
            </w:r>
            <w:r w:rsidR="00BC5CEC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br/>
            </w:r>
            <w:bookmarkStart w:id="0" w:name="_GoBack"/>
            <w:bookmarkEnd w:id="0"/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що звернулися</w:t>
            </w:r>
          </w:p>
        </w:tc>
      </w:tr>
      <w:tr w:rsidR="00110CA7" w:rsidRPr="00110CA7" w:rsidTr="00110CA7">
        <w:trPr>
          <w:trHeight w:val="45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110CA7" w:rsidRPr="00110CA7" w:rsidTr="00110CA7">
        <w:trPr>
          <w:trHeight w:val="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Поштою (електронною поштою)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2331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3451</w:t>
            </w:r>
          </w:p>
        </w:tc>
      </w:tr>
      <w:tr w:rsidR="00110CA7" w:rsidRPr="00110CA7" w:rsidTr="00110CA7">
        <w:trPr>
          <w:trHeight w:val="5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За допомогою засобів телефонного зв’язку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110CA7" w:rsidRPr="00110CA7" w:rsidTr="00110CA7">
        <w:trPr>
          <w:trHeight w:val="4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 використанням Інтернету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110CA7" w:rsidRPr="00110CA7" w:rsidTr="00110CA7">
        <w:trPr>
          <w:trHeight w:val="39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На особистому прийомі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171</w:t>
            </w:r>
          </w:p>
        </w:tc>
      </w:tr>
      <w:tr w:rsidR="00110CA7" w:rsidRPr="00110CA7" w:rsidTr="00110CA7">
        <w:trPr>
          <w:trHeight w:val="43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Через уповноважену особу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110CA7" w:rsidRPr="00110CA7" w:rsidTr="00110CA7">
        <w:trPr>
          <w:trHeight w:val="43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Через органи влади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4567</w:t>
            </w:r>
          </w:p>
        </w:tc>
      </w:tr>
      <w:tr w:rsidR="00110CA7" w:rsidRPr="00110CA7" w:rsidTr="00110CA7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          з них від КМУ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3697</w:t>
            </w:r>
          </w:p>
        </w:tc>
      </w:tr>
      <w:tr w:rsidR="00110CA7" w:rsidRPr="00110CA7" w:rsidTr="00110CA7">
        <w:trPr>
          <w:trHeight w:val="43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Через медіа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110CA7" w:rsidRPr="00110CA7" w:rsidTr="00A115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Від інших органів, установ, організацій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577</w:t>
            </w:r>
          </w:p>
        </w:tc>
      </w:tr>
      <w:tr w:rsidR="00110CA7" w:rsidRPr="00110CA7" w:rsidTr="00A115C2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3962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1074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8766</w:t>
            </w:r>
          </w:p>
        </w:tc>
      </w:tr>
      <w:tr w:rsidR="00A115C2" w:rsidRPr="00110CA7" w:rsidTr="00A115C2">
        <w:trPr>
          <w:trHeight w:val="311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15C2" w:rsidRPr="00110CA7" w:rsidRDefault="00A115C2" w:rsidP="0011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A115C2" w:rsidRPr="00110CA7" w:rsidRDefault="00A115C2" w:rsidP="0011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110CA7" w:rsidRPr="00110CA7" w:rsidTr="00A115C2">
        <w:trPr>
          <w:trHeight w:val="840"/>
        </w:trPr>
        <w:tc>
          <w:tcPr>
            <w:tcW w:w="14160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A7" w:rsidRPr="00110CA7" w:rsidRDefault="00110CA7" w:rsidP="00110C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9"/>
                <w:szCs w:val="19"/>
                <w:lang w:eastAsia="uk-UA"/>
              </w:rPr>
              <w:t>1. Пенсіонер (крім осіб, визначених у стовбці 2); 2.  Пенсіонер з числа військовослужбовців; 3. Робітник; 4. Селянин; 5. Працівник бюджетної сфери;</w:t>
            </w:r>
            <w:r w:rsidR="00A115C2">
              <w:rPr>
                <w:rFonts w:ascii="Arial" w:eastAsia="Times New Roman" w:hAnsi="Arial" w:cs="Arial"/>
                <w:sz w:val="19"/>
                <w:szCs w:val="19"/>
                <w:lang w:eastAsia="uk-UA"/>
              </w:rPr>
              <w:br/>
            </w:r>
            <w:r w:rsidRPr="00110CA7">
              <w:rPr>
                <w:rFonts w:ascii="Arial" w:eastAsia="Times New Roman" w:hAnsi="Arial" w:cs="Arial"/>
                <w:sz w:val="19"/>
                <w:szCs w:val="19"/>
                <w:lang w:eastAsia="uk-UA"/>
              </w:rPr>
              <w:t xml:space="preserve"> 6. Державний службовець; 7.  Військовослужбовець; 8. Підприємець; 9.Безробітний; 10. Учень, студент; 11. Служитель релігійної організації;</w:t>
            </w:r>
            <w:r w:rsidR="00A115C2">
              <w:rPr>
                <w:rFonts w:ascii="Arial" w:eastAsia="Times New Roman" w:hAnsi="Arial" w:cs="Arial"/>
                <w:sz w:val="19"/>
                <w:szCs w:val="19"/>
                <w:lang w:eastAsia="uk-UA"/>
              </w:rPr>
              <w:br/>
            </w:r>
            <w:r w:rsidRPr="00110CA7">
              <w:rPr>
                <w:rFonts w:ascii="Arial" w:eastAsia="Times New Roman" w:hAnsi="Arial" w:cs="Arial"/>
                <w:sz w:val="19"/>
                <w:szCs w:val="19"/>
                <w:lang w:eastAsia="uk-UA"/>
              </w:rPr>
              <w:t xml:space="preserve"> 12. Особа, що позбавлена волі; особа, воля якої обмежена; 13. Журналіст; 14.Інші</w:t>
            </w:r>
          </w:p>
        </w:tc>
      </w:tr>
    </w:tbl>
    <w:p w:rsidR="00110CA7" w:rsidRDefault="00110CA7" w:rsidP="003B6F03">
      <w:pPr>
        <w:ind w:firstLine="1276"/>
        <w:rPr>
          <w:sz w:val="20"/>
          <w:szCs w:val="20"/>
        </w:rPr>
      </w:pPr>
    </w:p>
    <w:p w:rsidR="00544A4F" w:rsidRDefault="00544A4F" w:rsidP="003B6F03">
      <w:pPr>
        <w:ind w:firstLine="1276"/>
        <w:rPr>
          <w:sz w:val="20"/>
          <w:szCs w:val="20"/>
        </w:rPr>
      </w:pPr>
    </w:p>
    <w:p w:rsidR="00544A4F" w:rsidRDefault="00544A4F" w:rsidP="003B6F03">
      <w:pPr>
        <w:ind w:firstLine="1276"/>
        <w:rPr>
          <w:sz w:val="20"/>
          <w:szCs w:val="20"/>
        </w:rPr>
      </w:pPr>
    </w:p>
    <w:p w:rsidR="00110CA7" w:rsidRDefault="00110CA7" w:rsidP="003B6F03">
      <w:pPr>
        <w:ind w:firstLine="1276"/>
        <w:rPr>
          <w:sz w:val="20"/>
          <w:szCs w:val="20"/>
        </w:rPr>
      </w:pPr>
    </w:p>
    <w:p w:rsidR="00110CA7" w:rsidRDefault="00110CA7" w:rsidP="003B6F03">
      <w:pPr>
        <w:ind w:firstLine="1276"/>
        <w:rPr>
          <w:sz w:val="20"/>
          <w:szCs w:val="20"/>
        </w:rPr>
      </w:pPr>
    </w:p>
    <w:p w:rsidR="00110CA7" w:rsidRDefault="00110CA7" w:rsidP="003B6F03">
      <w:pPr>
        <w:ind w:firstLine="1276"/>
        <w:rPr>
          <w:sz w:val="20"/>
          <w:szCs w:val="20"/>
        </w:rPr>
      </w:pPr>
    </w:p>
    <w:tbl>
      <w:tblPr>
        <w:tblW w:w="157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"/>
        <w:gridCol w:w="546"/>
        <w:gridCol w:w="11"/>
        <w:gridCol w:w="2000"/>
        <w:gridCol w:w="116"/>
        <w:gridCol w:w="989"/>
        <w:gridCol w:w="54"/>
        <w:gridCol w:w="521"/>
        <w:gridCol w:w="427"/>
        <w:gridCol w:w="77"/>
        <w:gridCol w:w="476"/>
        <w:gridCol w:w="573"/>
        <w:gridCol w:w="107"/>
        <w:gridCol w:w="384"/>
        <w:gridCol w:w="223"/>
        <w:gridCol w:w="220"/>
        <w:gridCol w:w="383"/>
        <w:gridCol w:w="566"/>
        <w:gridCol w:w="58"/>
        <w:gridCol w:w="428"/>
        <w:gridCol w:w="71"/>
        <w:gridCol w:w="540"/>
        <w:gridCol w:w="17"/>
        <w:gridCol w:w="380"/>
        <w:gridCol w:w="63"/>
        <w:gridCol w:w="443"/>
        <w:gridCol w:w="98"/>
        <w:gridCol w:w="380"/>
        <w:gridCol w:w="166"/>
        <w:gridCol w:w="279"/>
        <w:gridCol w:w="139"/>
        <w:gridCol w:w="210"/>
        <w:gridCol w:w="26"/>
        <w:gridCol w:w="68"/>
        <w:gridCol w:w="164"/>
        <w:gridCol w:w="203"/>
        <w:gridCol w:w="26"/>
        <w:gridCol w:w="68"/>
        <w:gridCol w:w="134"/>
        <w:gridCol w:w="176"/>
        <w:gridCol w:w="26"/>
        <w:gridCol w:w="181"/>
        <w:gridCol w:w="119"/>
        <w:gridCol w:w="176"/>
        <w:gridCol w:w="26"/>
        <w:gridCol w:w="122"/>
        <w:gridCol w:w="149"/>
        <w:gridCol w:w="207"/>
        <w:gridCol w:w="26"/>
        <w:gridCol w:w="61"/>
        <w:gridCol w:w="145"/>
        <w:gridCol w:w="208"/>
        <w:gridCol w:w="26"/>
        <w:gridCol w:w="104"/>
        <w:gridCol w:w="82"/>
        <w:gridCol w:w="176"/>
        <w:gridCol w:w="26"/>
        <w:gridCol w:w="159"/>
        <w:gridCol w:w="179"/>
        <w:gridCol w:w="285"/>
        <w:gridCol w:w="288"/>
        <w:gridCol w:w="351"/>
        <w:gridCol w:w="762"/>
      </w:tblGrid>
      <w:tr w:rsidR="00A115C2" w:rsidRPr="00110CA7" w:rsidTr="00A115C2">
        <w:trPr>
          <w:gridAfter w:val="7"/>
          <w:wAfter w:w="2050" w:type="dxa"/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Довідка щодо роботи із зверненнями громадян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5C2" w:rsidRPr="00110CA7" w:rsidTr="00A115C2">
        <w:trPr>
          <w:gridAfter w:val="30"/>
          <w:wAfter w:w="4723" w:type="dxa"/>
          <w:trHeight w:val="31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4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 СОЦІАЛЬНОЇ ПОЛІТИКИ УКРАЇНИ</w:t>
            </w:r>
          </w:p>
        </w:tc>
      </w:tr>
      <w:tr w:rsidR="00A115C2" w:rsidRPr="00110CA7" w:rsidTr="00A115C2">
        <w:trPr>
          <w:gridAfter w:val="1"/>
          <w:wAfter w:w="762" w:type="dxa"/>
          <w:trHeight w:val="30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4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ДОВІДКА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5C2" w:rsidRPr="00110CA7" w:rsidTr="00A115C2">
        <w:trPr>
          <w:gridAfter w:val="1"/>
          <w:wAfter w:w="762" w:type="dxa"/>
          <w:trHeight w:val="27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щодо роботи із зверненнями громадян,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5C2" w:rsidRPr="00110CA7" w:rsidTr="00A115C2">
        <w:trPr>
          <w:gridAfter w:val="1"/>
          <w:wAfter w:w="762" w:type="dxa"/>
          <w:trHeight w:val="27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що надійшли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5C2" w:rsidRPr="00110CA7" w:rsidTr="00A115C2">
        <w:trPr>
          <w:gridAfter w:val="3"/>
          <w:wAfter w:w="1401" w:type="dxa"/>
          <w:trHeight w:val="42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за </w:t>
            </w:r>
            <w:r w:rsidRPr="00110CA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uk-UA"/>
              </w:rPr>
              <w:t>період з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5C2" w:rsidRPr="00A115C2" w:rsidTr="00A115C2">
        <w:trPr>
          <w:gridBefore w:val="1"/>
          <w:wBefore w:w="10" w:type="dxa"/>
          <w:trHeight w:val="23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5C2" w:rsidRPr="00A115C2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C2" w:rsidRPr="00A115C2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За формою надходження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A115C2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звернень</w:t>
            </w:r>
          </w:p>
        </w:tc>
        <w:tc>
          <w:tcPr>
            <w:tcW w:w="10865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A115C2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 них</w:t>
            </w:r>
          </w:p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A1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Кількість громадян, </w:t>
            </w:r>
            <w:r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br/>
            </w: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що звернулися</w:t>
            </w:r>
          </w:p>
        </w:tc>
      </w:tr>
      <w:tr w:rsidR="00A115C2" w:rsidRPr="00A115C2" w:rsidTr="00A115C2">
        <w:trPr>
          <w:trHeight w:val="432"/>
        </w:trPr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5C2" w:rsidRPr="00A115C2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C2" w:rsidRPr="00A115C2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A115C2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115C2" w:rsidRPr="00110CA7" w:rsidRDefault="00A115C2" w:rsidP="00D17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1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A115C2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A115C2" w:rsidRPr="00110CA7" w:rsidTr="00A115C2">
        <w:trPr>
          <w:trHeight w:val="6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Поштою (електронною поштою)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2331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644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1101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3451</w:t>
            </w:r>
          </w:p>
        </w:tc>
      </w:tr>
      <w:tr w:rsidR="00A115C2" w:rsidRPr="00110CA7" w:rsidTr="00A115C2">
        <w:trPr>
          <w:trHeight w:val="64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За допомогою засобів телефонного зв’язку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 використанням Інтернету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На особистому прийомі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171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Через уповноважену особу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Через органи влади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564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4567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          з них від КМУ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282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3697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Через медіа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</w:tr>
      <w:tr w:rsidR="00A115C2" w:rsidRPr="00110CA7" w:rsidTr="00A115C2">
        <w:trPr>
          <w:trHeight w:val="6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Від інших органів, установ, організацій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265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577</w:t>
            </w:r>
          </w:p>
        </w:tc>
      </w:tr>
      <w:tr w:rsidR="00A115C2" w:rsidRPr="00110CA7" w:rsidTr="00A115C2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3962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261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237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734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2029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C2" w:rsidRPr="00110CA7" w:rsidRDefault="00A115C2" w:rsidP="00D17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110C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8766</w:t>
            </w:r>
          </w:p>
        </w:tc>
      </w:tr>
    </w:tbl>
    <w:p w:rsidR="00110CA7" w:rsidRDefault="00A115C2" w:rsidP="00A115C2">
      <w:pPr>
        <w:rPr>
          <w:sz w:val="20"/>
          <w:szCs w:val="20"/>
        </w:rPr>
      </w:pPr>
      <w:r w:rsidRPr="00A115C2">
        <w:rPr>
          <w:sz w:val="20"/>
          <w:szCs w:val="20"/>
        </w:rPr>
        <w:t>1. Учасник війни; 2. Дитина війни; 3. Особа з інвалідністю внаслідок Другої світової війни; 4. Особа з інвалідністю внаслідок війни; 5. Учасник бойових дій; 6. Ветеран праці; 7. Ветеран військової служби; 8. Особа з інвалідністю I групи; 9. Особа з інвалідністю IІ групи; 10. Особа з інвалідністю IІІ групи; 11. Дитина з інвалідністю; 12. Одинока мати; 13. Мати-героїня; 14. Багатодітна сім'я; 15. Особа, що потерпіла від Чорнобильської катастрофи; 16.Учасник ліквідації наслідків аварії на Чорнобильській АЕС; 17. Внутрішньо переміщена особа; 18. Герой України; 19. Герой Радянського Союзу; 20.  Герой Соціалістичної Праці; 21. Дитина; 22. Інші категорії</w:t>
      </w:r>
    </w:p>
    <w:sectPr w:rsidR="00110CA7" w:rsidSect="00FE6F8B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64"/>
    <w:rsid w:val="00013028"/>
    <w:rsid w:val="0003487B"/>
    <w:rsid w:val="000C6C0E"/>
    <w:rsid w:val="00110CA7"/>
    <w:rsid w:val="00131412"/>
    <w:rsid w:val="00234ABA"/>
    <w:rsid w:val="003B6F03"/>
    <w:rsid w:val="00423012"/>
    <w:rsid w:val="0047540A"/>
    <w:rsid w:val="00544A4F"/>
    <w:rsid w:val="00564911"/>
    <w:rsid w:val="00590064"/>
    <w:rsid w:val="005A1E84"/>
    <w:rsid w:val="006E4B62"/>
    <w:rsid w:val="0077075C"/>
    <w:rsid w:val="007A2F79"/>
    <w:rsid w:val="007A6E4E"/>
    <w:rsid w:val="00811CA0"/>
    <w:rsid w:val="009125FE"/>
    <w:rsid w:val="00A115C2"/>
    <w:rsid w:val="00B0565A"/>
    <w:rsid w:val="00B23937"/>
    <w:rsid w:val="00B40D1A"/>
    <w:rsid w:val="00BC5CEC"/>
    <w:rsid w:val="00CB0015"/>
    <w:rsid w:val="00D1686F"/>
    <w:rsid w:val="00D1789B"/>
    <w:rsid w:val="00EF78CB"/>
    <w:rsid w:val="00F513DE"/>
    <w:rsid w:val="00FC5F8C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F4A5"/>
  <w15:chartTrackingRefBased/>
  <w15:docId w15:val="{2D0CEAC7-F466-4A28-B218-0719BCB3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24\&#1047;&#1074;&#1110;&#1090;%202024\&#1088;&#1086;&#1073;&#1086;&#1095;&#1110;%20&#1090;&#1072;&#1073;&#1083;&#1080;&#1094;&#1110;\&#1088;&#1086;&#1073;&#1086;&#1095;&#1072;%20&#1087;&#1080;&#1090;&#1072;&#1085;&#1085;&#1103;%20&#1047;&#1042;&#1043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42;&#1030;&#1058;&#1048;\&#1047;&#1042;&#1045;&#1056;&#1053;&#1045;&#1053;&#1053;&#1071;%20&#1043;&#1056;&#1054;&#1052;&#1040;&#1044;&#1071;&#1053;\&#1047;&#1074;&#1110;&#1090;%202025\&#1030;%20&#1087;&#1110;&#1074;&#1088;&#1110;&#1095;&#1095;&#1103;%202025\&#1088;&#1086;&#1073;&#1086;&#1095;&#1110;%20&#1076;&#1110;&#1072;&#1075;&#1088;&#1072;&#1084;&#1080;%20&#1090;&#1072;&#1073;&#1083;&#1080;&#1094;&#1110;%20&#1030;%20&#1087;&#1110;&#1074;&#1088;&#1110;&#1095;&#1095;&#1103;%202025\&#1090;&#1072;&#1073;&#1083;.%202%20&#1091;%20&#1088;&#1086;&#1079;&#1088;&#1110;&#1079;&#1110;%20&#1088;&#1077;&#1075;&#1110;&#1086;&#1085;&#1110;&#1074;%20&#1030;%20&#1087;&#1110;&#1074;&#1088;&#1110;&#1095;&#1095;&#1103;%20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uk-UA" sz="18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ПИТАННЯ,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50000"/>
                    <a:lumOff val="50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8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що порушували громадяни у зверненнях до Мінсоцполітики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50000"/>
                    <a:lumOff val="50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8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 І півріччі 2025 року </a:t>
            </a:r>
            <a:endParaRPr lang="uk-UA" sz="16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75944800265550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30"/>
      <c:rotY val="26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8855323803253"/>
          <c:y val="0.31647574394913125"/>
          <c:w val="0.32519587090314478"/>
          <c:h val="0.28526127134736595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01-4EB1-9C47-63F924A6E7D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01-4EB1-9C47-63F924A6E7D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01-4EB1-9C47-63F924A6E7D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01-4EB1-9C47-63F924A6E7D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801-4EB1-9C47-63F924A6E7D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801-4EB1-9C47-63F924A6E7D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801-4EB1-9C47-63F924A6E7D4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801-4EB1-9C47-63F924A6E7D4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801-4EB1-9C47-63F924A6E7D4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801-4EB1-9C47-63F924A6E7D4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801-4EB1-9C47-63F924A6E7D4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801-4EB1-9C47-63F924A6E7D4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801-4EB1-9C47-63F924A6E7D4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1801-4EB1-9C47-63F924A6E7D4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801-4EB1-9C47-63F924A6E7D4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801-4EB1-9C47-63F924A6E7D4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1801-4EB1-9C47-63F924A6E7D4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1801-4EB1-9C47-63F924A6E7D4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1801-4EB1-9C47-63F924A6E7D4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1801-4EB1-9C47-63F924A6E7D4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1801-4EB1-9C47-63F924A6E7D4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1801-4EB1-9C47-63F924A6E7D4}"/>
              </c:ext>
            </c:extLst>
          </c:dPt>
          <c:dLbls>
            <c:dLbl>
              <c:idx val="0"/>
              <c:layout>
                <c:manualLayout>
                  <c:x val="0.10703662293812678"/>
                  <c:y val="-9.39865529377563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C676745-68E5-48B1-81AC-45BAC735314B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              (</a:t>
                    </a:r>
                    <a:fld id="{F92F7C14-EBA2-499C-B64A-76330867FCFA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20,6%)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95454241228868"/>
                      <c:h val="7.25747041831868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801-4EB1-9C47-63F924A6E7D4}"/>
                </c:ext>
              </c:extLst>
            </c:dLbl>
            <c:dLbl>
              <c:idx val="1"/>
              <c:layout>
                <c:manualLayout>
                  <c:x val="1.0385973695236955E-2"/>
                  <c:y val="-4.58945945778772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ABD2735-2221-430A-8AF5-1936B810ED06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  (</a:t>
                    </a:r>
                    <a:fld id="{1E3F4EA4-FD9E-4291-8093-6EB81025F883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20,1%)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41539650321872"/>
                      <c:h val="5.100157109190887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801-4EB1-9C47-63F924A6E7D4}"/>
                </c:ext>
              </c:extLst>
            </c:dLbl>
            <c:dLbl>
              <c:idx val="2"/>
              <c:layout>
                <c:manualLayout>
                  <c:x val="6.573502603812395E-2"/>
                  <c:y val="-7.6189143383785587E-2"/>
                </c:manualLayout>
              </c:layout>
              <c:tx>
                <c:rich>
                  <a:bodyPr/>
                  <a:lstStyle/>
                  <a:p>
                    <a:fld id="{1D161F36-0783-4F6D-B1A7-24173EE1A05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          (</a:t>
                    </a:r>
                    <a:fld id="{1362A272-C764-435A-A4F3-9324D98BA057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801-4EB1-9C47-63F924A6E7D4}"/>
                </c:ext>
              </c:extLst>
            </c:dLbl>
            <c:dLbl>
              <c:idx val="3"/>
              <c:layout>
                <c:manualLayout>
                  <c:x val="7.7991391366334706E-2"/>
                  <c:y val="-0.10672909798294067"/>
                </c:manualLayout>
              </c:layout>
              <c:tx>
                <c:rich>
                  <a:bodyPr/>
                  <a:lstStyle/>
                  <a:p>
                    <a:fld id="{6E3E5E71-0548-42A5-8899-37924383FC48}" type="CATEGORYNAME">
                      <a:rPr lang="uk-UA"/>
                      <a:pPr/>
                      <a:t>[ІМ’Я КАТЕГОРІЇ]</a:t>
                    </a:fld>
                    <a:r>
                      <a:rPr lang="uk-UA"/>
                      <a:t>               </a:t>
                    </a:r>
                    <a:r>
                      <a:rPr lang="uk-UA" baseline="0"/>
                      <a:t>        (</a:t>
                    </a:r>
                    <a:fld id="{53AF19D0-EB6F-460B-918A-DED4854E9A85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7,</a:t>
                    </a:r>
                    <a:fld id="{F82A3C02-C2F7-41AB-9253-1B9D6036E759}" type="PERCENTAGE">
                      <a:rPr lang="uk-UA" baseline="0"/>
                      <a:pPr/>
                      <a:t>[ВІДСОТОК]</a:t>
                    </a:fld>
                    <a:r>
                      <a:rPr lang="uk-UA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801-4EB1-9C47-63F924A6E7D4}"/>
                </c:ext>
              </c:extLst>
            </c:dLbl>
            <c:dLbl>
              <c:idx val="4"/>
              <c:layout>
                <c:manualLayout>
                  <c:x val="0.11991358716649707"/>
                  <c:y val="-0.11277532767162941"/>
                </c:manualLayout>
              </c:layout>
              <c:tx>
                <c:rich>
                  <a:bodyPr/>
                  <a:lstStyle/>
                  <a:p>
                    <a:fld id="{164D2BE0-FA06-43AB-8B2D-EB00AE44ABA8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                      (</a:t>
                    </a:r>
                    <a:fld id="{133524D4-13D3-4A02-BBC5-5FFFC61C4335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6,6%)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801-4EB1-9C47-63F924A6E7D4}"/>
                </c:ext>
              </c:extLst>
            </c:dLbl>
            <c:dLbl>
              <c:idx val="5"/>
              <c:layout>
                <c:manualLayout>
                  <c:x val="0.16537555300404302"/>
                  <c:y val="-0.1102788997408316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C18847D-EC70-4E44-B024-9064AD7D6E66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b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F89C50C0-7E9F-4B3B-8ED0-9A1A0B0AC6E2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6,0%)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43325588102456"/>
                      <c:h val="7.653181461115475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801-4EB1-9C47-63F924A6E7D4}"/>
                </c:ext>
              </c:extLst>
            </c:dLbl>
            <c:dLbl>
              <c:idx val="6"/>
              <c:layout>
                <c:manualLayout>
                  <c:x val="0.21430657280040857"/>
                  <c:y val="-5.992215672569601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6BB64B5-7856-450B-888B-719E1DE4E3C5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(</a:t>
                    </a:r>
                    <a:fld id="{174B7CDB-9EAC-4DD9-887E-46BF0F01F6AC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5,6%)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0475488818115"/>
                      <c:h val="5.689316575019638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801-4EB1-9C47-63F924A6E7D4}"/>
                </c:ext>
              </c:extLst>
            </c:dLbl>
            <c:dLbl>
              <c:idx val="7"/>
              <c:layout>
                <c:manualLayout>
                  <c:x val="0.32939267007081158"/>
                  <c:y val="9.6937607857934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Питання, які не належать 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 повноважено Міністерства</a:t>
                    </a: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949B0294-1184-46FA-84D5-D73066627D87}" type="VALUE"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5,2%)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54042847270215"/>
                      <c:h val="7.849567949725058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801-4EB1-9C47-63F924A6E7D4}"/>
                </c:ext>
              </c:extLst>
            </c:dLbl>
            <c:dLbl>
              <c:idx val="8"/>
              <c:layout>
                <c:manualLayout>
                  <c:x val="0.34803040774015204"/>
                  <c:y val="0.11746076909278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Пропозиції</a:t>
                    </a: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щодо внесення змін 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 законодавства (</a:t>
                    </a:r>
                    <a:fld id="{D50FF26E-4881-44A7-9677-C31D6B0B88A5}" type="VALUE"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3,1%)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09542414661882"/>
                      <c:h val="5.885703063629222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1801-4EB1-9C47-63F924A6E7D4}"/>
                </c:ext>
              </c:extLst>
            </c:dLbl>
            <c:dLbl>
              <c:idx val="9"/>
              <c:layout>
                <c:manualLayout>
                  <c:x val="0.25646411695595711"/>
                  <c:y val="0.20566381725850647"/>
                </c:manualLayout>
              </c:layout>
              <c:tx>
                <c:rich>
                  <a:bodyPr/>
                  <a:lstStyle/>
                  <a:p>
                    <a:fld id="{A17396AC-D6C7-493A-933C-462AA0191F3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(</a:t>
                    </a:r>
                    <a:fld id="{CBA2362C-F001-46F6-88DA-FC715BB6100B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801-4EB1-9C47-63F924A6E7D4}"/>
                </c:ext>
              </c:extLst>
            </c:dLbl>
            <c:dLbl>
              <c:idx val="10"/>
              <c:layout>
                <c:manualLayout>
                  <c:x val="0.30795052484368962"/>
                  <c:y val="0.27013719219897198"/>
                </c:manualLayout>
              </c:layout>
              <c:tx>
                <c:rich>
                  <a:bodyPr/>
                  <a:lstStyle/>
                  <a:p>
                    <a:fld id="{CB4E91C0-5284-4B2D-94EA-8E7F8AE2F27D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(</a:t>
                    </a:r>
                    <a:fld id="{0CF8656E-5727-406E-8F5B-095A58831B7B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442985487215"/>
                      <c:h val="4.903770620581304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1801-4EB1-9C47-63F924A6E7D4}"/>
                </c:ext>
              </c:extLst>
            </c:dLbl>
            <c:dLbl>
              <c:idx val="11"/>
              <c:layout>
                <c:manualLayout>
                  <c:x val="0.2098885466896081"/>
                  <c:y val="0.359088519276802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Усиновлення, захист прав дитини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</a:t>
                    </a:r>
                    <a:fld id="{6E52EAFA-8F7D-4DF7-AB9F-FFD6440399A9}" type="VALUE"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1,7%)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44569541108672"/>
                      <c:h val="8.63511390416339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801-4EB1-9C47-63F924A6E7D4}"/>
                </c:ext>
              </c:extLst>
            </c:dLbl>
            <c:dLbl>
              <c:idx val="12"/>
              <c:layout>
                <c:manualLayout>
                  <c:x val="7.3426355248159686E-2"/>
                  <c:y val="0.3875046390509120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Житлове питання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AA8D3947-4358-4C68-A9A2-D1AFEC86EB78}" type="VALUE"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1,0%)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585970104070454E-2"/>
                      <c:h val="6.562849861756281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801-4EB1-9C47-63F924A6E7D4}"/>
                </c:ext>
              </c:extLst>
            </c:dLbl>
            <c:dLbl>
              <c:idx val="13"/>
              <c:layout>
                <c:manualLayout>
                  <c:x val="-4.2893569100266746E-2"/>
                  <c:y val="0.3903879638277736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15EA113-3351-468C-9638-FC0C1B835E5C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</a:t>
                    </a:r>
                    <a:fld id="{A655F35D-D021-4FCC-913B-0BD64D55C480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1,0%)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702818973834627"/>
                      <c:h val="8.828562327195352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1801-4EB1-9C47-63F924A6E7D4}"/>
                </c:ext>
              </c:extLst>
            </c:dLbl>
            <c:dLbl>
              <c:idx val="14"/>
              <c:layout>
                <c:manualLayout>
                  <c:x val="-0.10639727048631709"/>
                  <c:y val="0.3165517470665734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E71EA3B-F43B-4030-A989-4D9C4793955E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</a:t>
                    </a:r>
                    <a:fld id="{0D44E4B7-021B-4AC0-B045-9CE76212ED6F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0,9%)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99994558385799"/>
                      <c:h val="6.082089552238804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1801-4EB1-9C47-63F924A6E7D4}"/>
                </c:ext>
              </c:extLst>
            </c:dLbl>
            <c:dLbl>
              <c:idx val="15"/>
              <c:layout>
                <c:manualLayout>
                  <c:x val="-0.18359178436174761"/>
                  <c:y val="0.236338768239201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0E01302-9E0D-4A3E-9E26-C98D39EA1B3F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b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7B6D7BC5-88E8-48F3-BE90-62B0D0C45E31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0,8%)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04101757778513"/>
                      <c:h val="7.453856906928267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1801-4EB1-9C47-63F924A6E7D4}"/>
                </c:ext>
              </c:extLst>
            </c:dLbl>
            <c:dLbl>
              <c:idx val="16"/>
              <c:layout>
                <c:manualLayout>
                  <c:x val="-0.19416049496922766"/>
                  <c:y val="0.14826584545156513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Індексація доходів, прожитковий мінімум </a:t>
                    </a:r>
                  </a:p>
                  <a:p>
                    <a:r>
                      <a:rPr lang="uk-UA" baseline="0"/>
                      <a:t>(</a:t>
                    </a:r>
                    <a:fld id="{1A548D75-D449-4F97-A206-CC755532E4CC}" type="VALUE">
                      <a:rPr lang="en-US" baseline="0"/>
                      <a:pPr/>
                      <a:t>[ЗНАЧЕННЯ]</a:t>
                    </a:fld>
                    <a:r>
                      <a:rPr lang="en-US" baseline="0"/>
                      <a:t>; 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25501036627506"/>
                      <c:h val="7.061083929709099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1801-4EB1-9C47-63F924A6E7D4}"/>
                </c:ext>
              </c:extLst>
            </c:dLbl>
            <c:dLbl>
              <c:idx val="17"/>
              <c:layout>
                <c:manualLayout>
                  <c:x val="-0.18754779034339028"/>
                  <c:y val="8.430825565500306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Санаторно-курортне лікування,</a:t>
                    </a:r>
                    <a:r>
                      <a:rPr lang="uk-UA" baseline="0"/>
                      <a:t> оздоровлення дітей (</a:t>
                    </a:r>
                    <a:fld id="{6E2A8164-480C-4ADA-8167-213FE4CB0039}" type="VALUE">
                      <a:rPr lang="en-US" baseline="0"/>
                      <a:pPr/>
                      <a:t>[ЗНАЧЕННЯ]</a:t>
                    </a:fld>
                    <a:r>
                      <a:rPr lang="en-US" baseline="0"/>
                      <a:t>; 0,6%)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1801-4EB1-9C47-63F924A6E7D4}"/>
                </c:ext>
              </c:extLst>
            </c:dLbl>
            <c:dLbl>
              <c:idx val="18"/>
              <c:layout>
                <c:manualLayout>
                  <c:x val="-0.19830690276845114"/>
                  <c:y val="-1.01801652739205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Соціальний захист потерпілих на виробництві, оплата листків непрацездатності                                           (</a:t>
                    </a:r>
                    <a:fld id="{1C8C717E-E73D-4B12-8435-677F631758D1}" type="VALUE"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0,5%)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14968558510413"/>
                      <c:h val="0.102032677474624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1801-4EB1-9C47-63F924A6E7D4}"/>
                </c:ext>
              </c:extLst>
            </c:dLbl>
            <c:dLbl>
              <c:idx val="19"/>
              <c:layout>
                <c:manualLayout>
                  <c:x val="-0.19403214064699348"/>
                  <c:y val="-8.7517396440920145E-2"/>
                </c:manualLayout>
              </c:layout>
              <c:tx>
                <c:rich>
                  <a:bodyPr/>
                  <a:lstStyle/>
                  <a:p>
                    <a:fld id="{B23934CF-786C-4F7C-A182-917FB834119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(</a:t>
                    </a:r>
                    <a:fld id="{D6BE1228-143F-41A5-84DC-C7BC2150477A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67752059631228"/>
                      <c:h val="4.652395915161036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7-1801-4EB1-9C47-63F924A6E7D4}"/>
                </c:ext>
              </c:extLst>
            </c:dLbl>
            <c:dLbl>
              <c:idx val="20"/>
              <c:layout>
                <c:manualLayout>
                  <c:x val="-0.16530758724267966"/>
                  <c:y val="-0.1449403418052712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89B878C-488D-4681-8C72-F2FE7BB516A9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</a:t>
                    </a:r>
                    <a:fld id="{3C64AED6-9063-4058-8841-66D81D66A2FE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0,2%)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6337249481684"/>
                      <c:h val="5.885703063629222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9-1801-4EB1-9C47-63F924A6E7D4}"/>
                </c:ext>
              </c:extLst>
            </c:dLbl>
            <c:dLbl>
              <c:idx val="21"/>
              <c:layout>
                <c:manualLayout>
                  <c:x val="-6.2776801310340705E-2"/>
                  <c:y val="-0.151335737392605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3181981-FA55-4ABD-A3BB-47047460A604}" type="CATEGORYNAME"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15A6521A-665B-4CC3-AF1B-1E9A6B31BDA7}" type="VALUE"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1,9%)</a:t>
                    </a:r>
                  </a:p>
                </c:rich>
              </c:tx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767741022696957E-2"/>
                      <c:h val="5.103110638271551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1801-4EB1-9C47-63F924A6E7D4}"/>
                </c:ext>
              </c:extLst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Аркуш2!$A$1:$A$23</c:f>
              <c:strCache>
                <c:ptCount val="23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незахищених верст населення під час війни</c:v>
                </c:pt>
                <c:pt idx="3">
                  <c:v>Скарги на дії посадових осіб</c:v>
                </c:pt>
                <c:pt idx="4">
                  <c:v>Пільги та компенсації</c:v>
                </c:pt>
                <c:pt idx="5">
                  <c:v>Соціальний захист осіб з інвалідністю</c:v>
                </c:pt>
                <c:pt idx="6">
                  <c:v>Соціальний захист сімей з дітьми</c:v>
                </c:pt>
                <c:pt idx="7">
                  <c:v>Питання, які не належать до повноважень Міністерства</c:v>
                </c:pt>
                <c:pt idx="8">
                  <c:v>Пропозиції щодо внесення змін до законодавства; </c:v>
                </c:pt>
                <c:pt idx="9">
                  <c:v>Субсидії</c:v>
                </c:pt>
                <c:pt idx="10">
                  <c:v>Діяльність закладів підтримки та догляду</c:v>
                </c:pt>
                <c:pt idx="11">
                  <c:v>Усиновлення, захист прав дитини;</c:v>
                </c:pt>
                <c:pt idx="12">
                  <c:v>Житлове питання; </c:v>
                </c:pt>
                <c:pt idx="13">
                  <c:v>Соціальний захист військовослужбовців та членів їх сімей</c:v>
                </c:pt>
                <c:pt idx="14">
                  <c:v>Надання матеріальної допомоги</c:v>
                </c:pt>
                <c:pt idx="15">
                  <c:v>Соціальний захист постраждалих від Чорнобильської катастрофи</c:v>
                </c:pt>
                <c:pt idx="16">
                  <c:v>Індексація доходів, прожитковий мінімум; </c:v>
                </c:pt>
                <c:pt idx="17">
                  <c:v>Санаторно-курортне лікування, оздоровлення дітей; </c:v>
                </c:pt>
                <c:pt idx="18">
                  <c:v>Соціальний захист потерпілих на виробництві, оплата листків непрацездатності; </c:v>
                </c:pt>
                <c:pt idx="19">
                  <c:v>Надання гуманітарної допомоги </c:v>
                </c:pt>
                <c:pt idx="20">
                  <c:v>Організація прийому громадян</c:v>
                </c:pt>
                <c:pt idx="21">
                  <c:v>Інші</c:v>
                </c:pt>
                <c:pt idx="22">
                  <c:v>ВСЬОГО</c:v>
                </c:pt>
              </c:strCache>
            </c:strRef>
          </c:cat>
          <c:val>
            <c:numRef>
              <c:f>Аркуш2!$B$1:$B$22</c:f>
              <c:numCache>
                <c:formatCode>General</c:formatCode>
                <c:ptCount val="22"/>
                <c:pt idx="0">
                  <c:v>1975</c:v>
                </c:pt>
                <c:pt idx="1">
                  <c:v>1921</c:v>
                </c:pt>
                <c:pt idx="2">
                  <c:v>1028</c:v>
                </c:pt>
                <c:pt idx="3">
                  <c:v>746</c:v>
                </c:pt>
                <c:pt idx="4">
                  <c:v>633</c:v>
                </c:pt>
                <c:pt idx="5">
                  <c:v>577</c:v>
                </c:pt>
                <c:pt idx="6">
                  <c:v>534</c:v>
                </c:pt>
                <c:pt idx="7">
                  <c:v>496</c:v>
                </c:pt>
                <c:pt idx="8">
                  <c:v>299</c:v>
                </c:pt>
                <c:pt idx="9">
                  <c:v>228</c:v>
                </c:pt>
                <c:pt idx="10">
                  <c:v>186</c:v>
                </c:pt>
                <c:pt idx="11">
                  <c:v>165</c:v>
                </c:pt>
                <c:pt idx="12">
                  <c:v>98</c:v>
                </c:pt>
                <c:pt idx="13">
                  <c:v>94</c:v>
                </c:pt>
                <c:pt idx="14">
                  <c:v>84</c:v>
                </c:pt>
                <c:pt idx="15">
                  <c:v>80</c:v>
                </c:pt>
                <c:pt idx="16">
                  <c:v>66</c:v>
                </c:pt>
                <c:pt idx="17">
                  <c:v>60</c:v>
                </c:pt>
                <c:pt idx="18">
                  <c:v>50</c:v>
                </c:pt>
                <c:pt idx="19">
                  <c:v>48</c:v>
                </c:pt>
                <c:pt idx="20">
                  <c:v>20</c:v>
                </c:pt>
                <c:pt idx="21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1801-4EB1-9C47-63F924A6E7D4}"/>
            </c:ext>
          </c:extLst>
        </c:ser>
        <c:ser>
          <c:idx val="1"/>
          <c:order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E-1801-4EB1-9C47-63F924A6E7D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1801-4EB1-9C47-63F924A6E7D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2-1801-4EB1-9C47-63F924A6E7D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4-1801-4EB1-9C47-63F924A6E7D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6-1801-4EB1-9C47-63F924A6E7D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1801-4EB1-9C47-63F924A6E7D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1801-4EB1-9C47-63F924A6E7D4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1801-4EB1-9C47-63F924A6E7D4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1801-4EB1-9C47-63F924A6E7D4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1801-4EB1-9C47-63F924A6E7D4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1801-4EB1-9C47-63F924A6E7D4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4-1801-4EB1-9C47-63F924A6E7D4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6-1801-4EB1-9C47-63F924A6E7D4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8-1801-4EB1-9C47-63F924A6E7D4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A-1801-4EB1-9C47-63F924A6E7D4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C-1801-4EB1-9C47-63F924A6E7D4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E-1801-4EB1-9C47-63F924A6E7D4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0-1801-4EB1-9C47-63F924A6E7D4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2-1801-4EB1-9C47-63F924A6E7D4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4-1801-4EB1-9C47-63F924A6E7D4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6-1801-4EB1-9C47-63F924A6E7D4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8-1801-4EB1-9C47-63F924A6E7D4}"/>
              </c:ext>
            </c:extLst>
          </c:dPt>
          <c:cat>
            <c:strRef>
              <c:f>Аркуш2!$A$1:$A$23</c:f>
              <c:strCache>
                <c:ptCount val="23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незахищених верст населення під час війни</c:v>
                </c:pt>
                <c:pt idx="3">
                  <c:v>Скарги на дії посадових осіб</c:v>
                </c:pt>
                <c:pt idx="4">
                  <c:v>Пільги та компенсації</c:v>
                </c:pt>
                <c:pt idx="5">
                  <c:v>Соціальний захист осіб з інвалідністю</c:v>
                </c:pt>
                <c:pt idx="6">
                  <c:v>Соціальний захист сімей з дітьми</c:v>
                </c:pt>
                <c:pt idx="7">
                  <c:v>Питання, які не належать до повноважень Міністерства</c:v>
                </c:pt>
                <c:pt idx="8">
                  <c:v>Пропозиції щодо внесення змін до законодавства; </c:v>
                </c:pt>
                <c:pt idx="9">
                  <c:v>Субсидії</c:v>
                </c:pt>
                <c:pt idx="10">
                  <c:v>Діяльність закладів підтримки та догляду</c:v>
                </c:pt>
                <c:pt idx="11">
                  <c:v>Усиновлення, захист прав дитини;</c:v>
                </c:pt>
                <c:pt idx="12">
                  <c:v>Житлове питання; </c:v>
                </c:pt>
                <c:pt idx="13">
                  <c:v>Соціальний захист військовослужбовців та членів їх сімей</c:v>
                </c:pt>
                <c:pt idx="14">
                  <c:v>Надання матеріальної допомоги</c:v>
                </c:pt>
                <c:pt idx="15">
                  <c:v>Соціальний захист постраждалих від Чорнобильської катастрофи</c:v>
                </c:pt>
                <c:pt idx="16">
                  <c:v>Індексація доходів, прожитковий мінімум; </c:v>
                </c:pt>
                <c:pt idx="17">
                  <c:v>Санаторно-курортне лікування, оздоровлення дітей; </c:v>
                </c:pt>
                <c:pt idx="18">
                  <c:v>Соціальний захист потерпілих на виробництві, оплата листків непрацездатності; </c:v>
                </c:pt>
                <c:pt idx="19">
                  <c:v>Надання гуманітарної допомоги </c:v>
                </c:pt>
                <c:pt idx="20">
                  <c:v>Організація прийому громадян</c:v>
                </c:pt>
                <c:pt idx="21">
                  <c:v>Інші</c:v>
                </c:pt>
                <c:pt idx="22">
                  <c:v>ВСЬОГО</c:v>
                </c:pt>
              </c:strCache>
            </c:strRef>
          </c:cat>
          <c:val>
            <c:numRef>
              <c:f>Аркуш2!$C$1:$C$22</c:f>
              <c:numCache>
                <c:formatCode>0.0%</c:formatCode>
                <c:ptCount val="22"/>
                <c:pt idx="0">
                  <c:v>0.20630941188760055</c:v>
                </c:pt>
                <c:pt idx="1">
                  <c:v>0.20066854695497754</c:v>
                </c:pt>
                <c:pt idx="2">
                  <c:v>0.10738535464326752</c:v>
                </c:pt>
                <c:pt idx="3">
                  <c:v>7.7927504439569625E-2</c:v>
                </c:pt>
                <c:pt idx="4">
                  <c:v>6.6123472265747413E-2</c:v>
                </c:pt>
                <c:pt idx="5">
                  <c:v>6.0273686409693931E-2</c:v>
                </c:pt>
                <c:pt idx="6">
                  <c:v>5.5781886555938576E-2</c:v>
                </c:pt>
                <c:pt idx="7">
                  <c:v>5.1812389010759428E-2</c:v>
                </c:pt>
                <c:pt idx="8">
                  <c:v>3.1233678052856994E-2</c:v>
                </c:pt>
                <c:pt idx="9">
                  <c:v>2.3816985271074897E-2</c:v>
                </c:pt>
                <c:pt idx="10">
                  <c:v>1.9429645879034785E-2</c:v>
                </c:pt>
                <c:pt idx="11">
                  <c:v>1.7235976183014728E-2</c:v>
                </c:pt>
                <c:pt idx="12">
                  <c:v>1.0237125248093596E-2</c:v>
                </c:pt>
                <c:pt idx="13">
                  <c:v>9.8192834012326338E-3</c:v>
                </c:pt>
                <c:pt idx="14">
                  <c:v>8.7746787840802254E-3</c:v>
                </c:pt>
                <c:pt idx="15">
                  <c:v>8.3568369372192617E-3</c:v>
                </c:pt>
                <c:pt idx="16">
                  <c:v>6.8943904732058914E-3</c:v>
                </c:pt>
                <c:pt idx="17">
                  <c:v>6.2676277029144467E-3</c:v>
                </c:pt>
                <c:pt idx="18">
                  <c:v>5.2230230857620392E-3</c:v>
                </c:pt>
                <c:pt idx="19">
                  <c:v>5.0141021623315574E-3</c:v>
                </c:pt>
                <c:pt idx="20">
                  <c:v>2.0892092343048154E-3</c:v>
                </c:pt>
                <c:pt idx="21">
                  <c:v>1.9325185417319545E-2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9-1801-4EB1-9C47-63F924A6E7D4}"/>
            </c:ext>
          </c:extLst>
        </c:ser>
        <c:ser>
          <c:idx val="2"/>
          <c:order val="2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B-1801-4EB1-9C47-63F924A6E7D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D-1801-4EB1-9C47-63F924A6E7D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F-1801-4EB1-9C47-63F924A6E7D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1-1801-4EB1-9C47-63F924A6E7D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3-1801-4EB1-9C47-63F924A6E7D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5-1801-4EB1-9C47-63F924A6E7D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7-1801-4EB1-9C47-63F924A6E7D4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9-1801-4EB1-9C47-63F924A6E7D4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B-1801-4EB1-9C47-63F924A6E7D4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D-1801-4EB1-9C47-63F924A6E7D4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F-1801-4EB1-9C47-63F924A6E7D4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1-1801-4EB1-9C47-63F924A6E7D4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3-1801-4EB1-9C47-63F924A6E7D4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5-1801-4EB1-9C47-63F924A6E7D4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7-1801-4EB1-9C47-63F924A6E7D4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9-1801-4EB1-9C47-63F924A6E7D4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B-1801-4EB1-9C47-63F924A6E7D4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D-1801-4EB1-9C47-63F924A6E7D4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F-1801-4EB1-9C47-63F924A6E7D4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1-1801-4EB1-9C47-63F924A6E7D4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3-1801-4EB1-9C47-63F924A6E7D4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5-1801-4EB1-9C47-63F924A6E7D4}"/>
              </c:ext>
            </c:extLst>
          </c:dPt>
          <c:cat>
            <c:strRef>
              <c:f>Аркуш2!$A$1:$A$23</c:f>
              <c:strCache>
                <c:ptCount val="23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незахищених верст населення під час війни</c:v>
                </c:pt>
                <c:pt idx="3">
                  <c:v>Скарги на дії посадових осіб</c:v>
                </c:pt>
                <c:pt idx="4">
                  <c:v>Пільги та компенсації</c:v>
                </c:pt>
                <c:pt idx="5">
                  <c:v>Соціальний захист осіб з інвалідністю</c:v>
                </c:pt>
                <c:pt idx="6">
                  <c:v>Соціальний захист сімей з дітьми</c:v>
                </c:pt>
                <c:pt idx="7">
                  <c:v>Питання, які не належать до повноважень Міністерства</c:v>
                </c:pt>
                <c:pt idx="8">
                  <c:v>Пропозиції щодо внесення змін до законодавства; </c:v>
                </c:pt>
                <c:pt idx="9">
                  <c:v>Субсидії</c:v>
                </c:pt>
                <c:pt idx="10">
                  <c:v>Діяльність закладів підтримки та догляду</c:v>
                </c:pt>
                <c:pt idx="11">
                  <c:v>Усиновлення, захист прав дитини;</c:v>
                </c:pt>
                <c:pt idx="12">
                  <c:v>Житлове питання; </c:v>
                </c:pt>
                <c:pt idx="13">
                  <c:v>Соціальний захист військовослужбовців та членів їх сімей</c:v>
                </c:pt>
                <c:pt idx="14">
                  <c:v>Надання матеріальної допомоги</c:v>
                </c:pt>
                <c:pt idx="15">
                  <c:v>Соціальний захист постраждалих від Чорнобильської катастрофи</c:v>
                </c:pt>
                <c:pt idx="16">
                  <c:v>Індексація доходів, прожитковий мінімум; </c:v>
                </c:pt>
                <c:pt idx="17">
                  <c:v>Санаторно-курортне лікування, оздоровлення дітей; </c:v>
                </c:pt>
                <c:pt idx="18">
                  <c:v>Соціальний захист потерпілих на виробництві, оплата листків непрацездатності; </c:v>
                </c:pt>
                <c:pt idx="19">
                  <c:v>Надання гуманітарної допомоги </c:v>
                </c:pt>
                <c:pt idx="20">
                  <c:v>Організація прийому громадян</c:v>
                </c:pt>
                <c:pt idx="21">
                  <c:v>Інші</c:v>
                </c:pt>
                <c:pt idx="22">
                  <c:v>ВСЬОГО</c:v>
                </c:pt>
              </c:strCache>
            </c:strRef>
          </c:cat>
          <c:val>
            <c:numRef>
              <c:f>Аркуш2!$D$1:$D$22</c:f>
              <c:numCache>
                <c:formatCode>General</c:formatCode>
                <c:ptCount val="22"/>
              </c:numCache>
            </c:numRef>
          </c:val>
          <c:extLst>
            <c:ext xmlns:c16="http://schemas.microsoft.com/office/drawing/2014/chart" uri="{C3380CC4-5D6E-409C-BE32-E72D297353CC}">
              <c16:uniqueId val="{00000086-1801-4EB1-9C47-63F924A6E7D4}"/>
            </c:ext>
          </c:extLst>
        </c:ser>
        <c:ser>
          <c:idx val="3"/>
          <c:order val="3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8-1801-4EB1-9C47-63F924A6E7D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A-1801-4EB1-9C47-63F924A6E7D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C-1801-4EB1-9C47-63F924A6E7D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E-1801-4EB1-9C47-63F924A6E7D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0-1801-4EB1-9C47-63F924A6E7D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2-1801-4EB1-9C47-63F924A6E7D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4-1801-4EB1-9C47-63F924A6E7D4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6-1801-4EB1-9C47-63F924A6E7D4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8-1801-4EB1-9C47-63F924A6E7D4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A-1801-4EB1-9C47-63F924A6E7D4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C-1801-4EB1-9C47-63F924A6E7D4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E-1801-4EB1-9C47-63F924A6E7D4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0-1801-4EB1-9C47-63F924A6E7D4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2-1801-4EB1-9C47-63F924A6E7D4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4-1801-4EB1-9C47-63F924A6E7D4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6-1801-4EB1-9C47-63F924A6E7D4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8-1801-4EB1-9C47-63F924A6E7D4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A-1801-4EB1-9C47-63F924A6E7D4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C-1801-4EB1-9C47-63F924A6E7D4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E-1801-4EB1-9C47-63F924A6E7D4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0-1801-4EB1-9C47-63F924A6E7D4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2-1801-4EB1-9C47-63F924A6E7D4}"/>
              </c:ext>
            </c:extLst>
          </c:dPt>
          <c:cat>
            <c:strRef>
              <c:f>Аркуш2!$A$1:$A$23</c:f>
              <c:strCache>
                <c:ptCount val="23"/>
                <c:pt idx="0">
                  <c:v>Соціальний захист внутрішньо переміщених осіб</c:v>
                </c:pt>
                <c:pt idx="1">
                  <c:v>Пенсійне забезпечення</c:v>
                </c:pt>
                <c:pt idx="2">
                  <c:v>Соціальний захист незахищених верст населення під час війни</c:v>
                </c:pt>
                <c:pt idx="3">
                  <c:v>Скарги на дії посадових осіб</c:v>
                </c:pt>
                <c:pt idx="4">
                  <c:v>Пільги та компенсації</c:v>
                </c:pt>
                <c:pt idx="5">
                  <c:v>Соціальний захист осіб з інвалідністю</c:v>
                </c:pt>
                <c:pt idx="6">
                  <c:v>Соціальний захист сімей з дітьми</c:v>
                </c:pt>
                <c:pt idx="7">
                  <c:v>Питання, які не належать до повноважень Міністерства</c:v>
                </c:pt>
                <c:pt idx="8">
                  <c:v>Пропозиції щодо внесення змін до законодавства; </c:v>
                </c:pt>
                <c:pt idx="9">
                  <c:v>Субсидії</c:v>
                </c:pt>
                <c:pt idx="10">
                  <c:v>Діяльність закладів підтримки та догляду</c:v>
                </c:pt>
                <c:pt idx="11">
                  <c:v>Усиновлення, захист прав дитини;</c:v>
                </c:pt>
                <c:pt idx="12">
                  <c:v>Житлове питання; </c:v>
                </c:pt>
                <c:pt idx="13">
                  <c:v>Соціальний захист військовослужбовців та членів їх сімей</c:v>
                </c:pt>
                <c:pt idx="14">
                  <c:v>Надання матеріальної допомоги</c:v>
                </c:pt>
                <c:pt idx="15">
                  <c:v>Соціальний захист постраждалих від Чорнобильської катастрофи</c:v>
                </c:pt>
                <c:pt idx="16">
                  <c:v>Індексація доходів, прожитковий мінімум; </c:v>
                </c:pt>
                <c:pt idx="17">
                  <c:v>Санаторно-курортне лікування, оздоровлення дітей; </c:v>
                </c:pt>
                <c:pt idx="18">
                  <c:v>Соціальний захист потерпілих на виробництві, оплата листків непрацездатності; </c:v>
                </c:pt>
                <c:pt idx="19">
                  <c:v>Надання гуманітарної допомоги </c:v>
                </c:pt>
                <c:pt idx="20">
                  <c:v>Організація прийому громадян</c:v>
                </c:pt>
                <c:pt idx="21">
                  <c:v>Інші</c:v>
                </c:pt>
                <c:pt idx="22">
                  <c:v>ВСЬОГО</c:v>
                </c:pt>
              </c:strCache>
            </c:strRef>
          </c:cat>
          <c:val>
            <c:numRef>
              <c:f>Аркуш2!$E$1:$E$22</c:f>
              <c:numCache>
                <c:formatCode>General</c:formatCode>
                <c:ptCount val="22"/>
              </c:numCache>
            </c:numRef>
          </c:val>
          <c:extLst>
            <c:ext xmlns:c16="http://schemas.microsoft.com/office/drawing/2014/chart" uri="{C3380CC4-5D6E-409C-BE32-E72D297353CC}">
              <c16:uniqueId val="{000000B3-1801-4EB1-9C47-63F924A6E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І</a:t>
            </a:r>
            <a:r>
              <a:rPr lang="uk-UA" baseline="0"/>
              <a:t> півріччі </a:t>
            </a:r>
            <a:r>
              <a:rPr lang="uk-UA"/>
              <a:t>2025</a:t>
            </a:r>
            <a:r>
              <a:rPr lang="uk-UA" baseline="0"/>
              <a:t> </a:t>
            </a:r>
            <a:r>
              <a:rPr lang="uk-UA"/>
              <a:t>року</a:t>
            </a:r>
            <a:r>
              <a:rPr lang="uk-UA" baseline="0"/>
              <a:t> </a:t>
            </a:r>
            <a:r>
              <a:rPr lang="uk-UA"/>
              <a:t>у розрізі регіонів</a:t>
            </a:r>
          </a:p>
        </c:rich>
      </c:tx>
      <c:layout>
        <c:manualLayout>
          <c:xMode val="edge"/>
          <c:yMode val="edge"/>
          <c:x val="0.22566384499950753"/>
          <c:y val="7.112267746192742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9170360327475612E-2"/>
          <c:y val="9.7863955766336122E-2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І півріччя 2025 року (9573 звернення)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Київська обл.</c:v>
                </c:pt>
                <c:pt idx="2">
                  <c:v>Дніпропетровська обл.</c:v>
                </c:pt>
                <c:pt idx="3">
                  <c:v>Харківська обл.</c:v>
                </c:pt>
                <c:pt idx="4">
                  <c:v>Регіон не визначено</c:v>
                </c:pt>
                <c:pt idx="5">
                  <c:v>Одеська обл.</c:v>
                </c:pt>
                <c:pt idx="6">
                  <c:v>Полтавська обл.</c:v>
                </c:pt>
                <c:pt idx="7">
                  <c:v>Львівська обл.</c:v>
                </c:pt>
                <c:pt idx="8">
                  <c:v>Інші країни</c:v>
                </c:pt>
                <c:pt idx="9">
                  <c:v>Житомирська обл.</c:v>
                </c:pt>
                <c:pt idx="10">
                  <c:v>Івано-Франківська обл.</c:v>
                </c:pt>
                <c:pt idx="11">
                  <c:v>Запорізька обл.</c:v>
                </c:pt>
                <c:pt idx="12">
                  <c:v>Вінницька обл.</c:v>
                </c:pt>
                <c:pt idx="13">
                  <c:v>Сумська обл.</c:v>
                </c:pt>
                <c:pt idx="14">
                  <c:v>Рівненська обл.</c:v>
                </c:pt>
                <c:pt idx="15">
                  <c:v>Чернігівська обл.</c:v>
                </c:pt>
                <c:pt idx="16">
                  <c:v>Миколаївська обл.</c:v>
                </c:pt>
                <c:pt idx="17">
                  <c:v>Черкаська обл.</c:v>
                </c:pt>
                <c:pt idx="18">
                  <c:v>Донецька обл.</c:v>
                </c:pt>
                <c:pt idx="19">
                  <c:v>Кіровоградська обл.</c:v>
                </c:pt>
                <c:pt idx="20">
                  <c:v>Хмельницька обл.</c:v>
                </c:pt>
                <c:pt idx="21">
                  <c:v>Закарпатська обл.</c:v>
                </c:pt>
                <c:pt idx="22">
                  <c:v>Тернопільська обл.</c:v>
                </c:pt>
                <c:pt idx="23">
                  <c:v>Волинська обл.</c:v>
                </c:pt>
                <c:pt idx="24">
                  <c:v>Херсонська обл.</c:v>
                </c:pt>
                <c:pt idx="25">
                  <c:v>Чернівецька обл.</c:v>
                </c:pt>
                <c:pt idx="26">
                  <c:v>Луганська обл.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'2'!$C$6:$C$34</c:f>
              <c:numCache>
                <c:formatCode>General</c:formatCode>
                <c:ptCount val="29"/>
                <c:pt idx="0">
                  <c:v>1442</c:v>
                </c:pt>
                <c:pt idx="1">
                  <c:v>768</c:v>
                </c:pt>
                <c:pt idx="2">
                  <c:v>744</c:v>
                </c:pt>
                <c:pt idx="3">
                  <c:v>719</c:v>
                </c:pt>
                <c:pt idx="4">
                  <c:v>652</c:v>
                </c:pt>
                <c:pt idx="5">
                  <c:v>444</c:v>
                </c:pt>
                <c:pt idx="6">
                  <c:v>427</c:v>
                </c:pt>
                <c:pt idx="7">
                  <c:v>408</c:v>
                </c:pt>
                <c:pt idx="8">
                  <c:v>370</c:v>
                </c:pt>
                <c:pt idx="9">
                  <c:v>309</c:v>
                </c:pt>
                <c:pt idx="10">
                  <c:v>277</c:v>
                </c:pt>
                <c:pt idx="11">
                  <c:v>272</c:v>
                </c:pt>
                <c:pt idx="12">
                  <c:v>249</c:v>
                </c:pt>
                <c:pt idx="13">
                  <c:v>244</c:v>
                </c:pt>
                <c:pt idx="14">
                  <c:v>233</c:v>
                </c:pt>
                <c:pt idx="15">
                  <c:v>226</c:v>
                </c:pt>
                <c:pt idx="16">
                  <c:v>222</c:v>
                </c:pt>
                <c:pt idx="17">
                  <c:v>220</c:v>
                </c:pt>
                <c:pt idx="18">
                  <c:v>200</c:v>
                </c:pt>
                <c:pt idx="19">
                  <c:v>188</c:v>
                </c:pt>
                <c:pt idx="20">
                  <c:v>177</c:v>
                </c:pt>
                <c:pt idx="21">
                  <c:v>171</c:v>
                </c:pt>
                <c:pt idx="22">
                  <c:v>164</c:v>
                </c:pt>
                <c:pt idx="23">
                  <c:v>156</c:v>
                </c:pt>
                <c:pt idx="24">
                  <c:v>148</c:v>
                </c:pt>
                <c:pt idx="25">
                  <c:v>87</c:v>
                </c:pt>
                <c:pt idx="26">
                  <c:v>55</c:v>
                </c:pt>
                <c:pt idx="27">
                  <c:v>1</c:v>
                </c:pt>
                <c:pt idx="2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45-4107-9F39-9EE7BEC7A544}"/>
            </c:ext>
          </c:extLst>
        </c:ser>
        <c:ser>
          <c:idx val="1"/>
          <c:order val="1"/>
          <c:tx>
            <c:v>І півріччі 2024 року (11814 звернень)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Київська обл.</c:v>
                </c:pt>
                <c:pt idx="2">
                  <c:v>Дніпропетровська обл.</c:v>
                </c:pt>
                <c:pt idx="3">
                  <c:v>Харківська обл.</c:v>
                </c:pt>
                <c:pt idx="4">
                  <c:v>Регіон не визначено</c:v>
                </c:pt>
                <c:pt idx="5">
                  <c:v>Одеська обл.</c:v>
                </c:pt>
                <c:pt idx="6">
                  <c:v>Полтавська обл.</c:v>
                </c:pt>
                <c:pt idx="7">
                  <c:v>Львівська обл.</c:v>
                </c:pt>
                <c:pt idx="8">
                  <c:v>Інші країни</c:v>
                </c:pt>
                <c:pt idx="9">
                  <c:v>Житомирська обл.</c:v>
                </c:pt>
                <c:pt idx="10">
                  <c:v>Івано-Франківська обл.</c:v>
                </c:pt>
                <c:pt idx="11">
                  <c:v>Запорізька обл.</c:v>
                </c:pt>
                <c:pt idx="12">
                  <c:v>Вінницька обл.</c:v>
                </c:pt>
                <c:pt idx="13">
                  <c:v>Сумська обл.</c:v>
                </c:pt>
                <c:pt idx="14">
                  <c:v>Рівненська обл.</c:v>
                </c:pt>
                <c:pt idx="15">
                  <c:v>Чернігівська обл.</c:v>
                </c:pt>
                <c:pt idx="16">
                  <c:v>Миколаївська обл.</c:v>
                </c:pt>
                <c:pt idx="17">
                  <c:v>Черкаська обл.</c:v>
                </c:pt>
                <c:pt idx="18">
                  <c:v>Донецька обл.</c:v>
                </c:pt>
                <c:pt idx="19">
                  <c:v>Кіровоградська обл.</c:v>
                </c:pt>
                <c:pt idx="20">
                  <c:v>Хмельницька обл.</c:v>
                </c:pt>
                <c:pt idx="21">
                  <c:v>Закарпатська обл.</c:v>
                </c:pt>
                <c:pt idx="22">
                  <c:v>Тернопільська обл.</c:v>
                </c:pt>
                <c:pt idx="23">
                  <c:v>Волинська обл.</c:v>
                </c:pt>
                <c:pt idx="24">
                  <c:v>Херсонська обл.</c:v>
                </c:pt>
                <c:pt idx="25">
                  <c:v>Чернівецька обл.</c:v>
                </c:pt>
                <c:pt idx="26">
                  <c:v>Луганська обл.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'2'!$E$6:$E$34</c:f>
              <c:numCache>
                <c:formatCode>General</c:formatCode>
                <c:ptCount val="29"/>
                <c:pt idx="0">
                  <c:v>1387</c:v>
                </c:pt>
                <c:pt idx="1">
                  <c:v>576</c:v>
                </c:pt>
                <c:pt idx="2">
                  <c:v>810</c:v>
                </c:pt>
                <c:pt idx="3">
                  <c:v>915</c:v>
                </c:pt>
                <c:pt idx="4">
                  <c:v>139</c:v>
                </c:pt>
                <c:pt idx="5">
                  <c:v>468</c:v>
                </c:pt>
                <c:pt idx="6">
                  <c:v>404</c:v>
                </c:pt>
                <c:pt idx="7">
                  <c:v>401</c:v>
                </c:pt>
                <c:pt idx="8">
                  <c:v>484</c:v>
                </c:pt>
                <c:pt idx="9">
                  <c:v>1809</c:v>
                </c:pt>
                <c:pt idx="10">
                  <c:v>190</c:v>
                </c:pt>
                <c:pt idx="11">
                  <c:v>589</c:v>
                </c:pt>
                <c:pt idx="12">
                  <c:v>251</c:v>
                </c:pt>
                <c:pt idx="13">
                  <c:v>219</c:v>
                </c:pt>
                <c:pt idx="14">
                  <c:v>325</c:v>
                </c:pt>
                <c:pt idx="15">
                  <c:v>166</c:v>
                </c:pt>
                <c:pt idx="16">
                  <c:v>264</c:v>
                </c:pt>
                <c:pt idx="17">
                  <c:v>240</c:v>
                </c:pt>
                <c:pt idx="18">
                  <c:v>521</c:v>
                </c:pt>
                <c:pt idx="19">
                  <c:v>147</c:v>
                </c:pt>
                <c:pt idx="20">
                  <c:v>217</c:v>
                </c:pt>
                <c:pt idx="21">
                  <c:v>170</c:v>
                </c:pt>
                <c:pt idx="22">
                  <c:v>445</c:v>
                </c:pt>
                <c:pt idx="23">
                  <c:v>148</c:v>
                </c:pt>
                <c:pt idx="24">
                  <c:v>250</c:v>
                </c:pt>
                <c:pt idx="25">
                  <c:v>121</c:v>
                </c:pt>
                <c:pt idx="26">
                  <c:v>144</c:v>
                </c:pt>
                <c:pt idx="27">
                  <c:v>12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45-4107-9F39-9EE7BEC7A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719600"/>
        <c:axId val="1"/>
      </c:barChart>
      <c:catAx>
        <c:axId val="22771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227719600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0117803155400273"/>
          <c:y val="0.17419991992526357"/>
          <c:w val="0.30022109819054066"/>
          <c:h val="5.414327446357342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3564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20</cp:revision>
  <cp:lastPrinted>2025-07-09T07:14:00Z</cp:lastPrinted>
  <dcterms:created xsi:type="dcterms:W3CDTF">2025-07-05T10:46:00Z</dcterms:created>
  <dcterms:modified xsi:type="dcterms:W3CDTF">2025-07-10T08:21:00Z</dcterms:modified>
</cp:coreProperties>
</file>