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8078.7401574803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11 до Державного стандарту комплексної соціальної послуги з формування життєстійкості</w:t>
      </w:r>
    </w:p>
    <w:p w:rsidR="00000000" w:rsidDel="00000000" w:rsidP="00000000" w:rsidRDefault="00000000" w:rsidRPr="00000000" w14:paraId="00000002">
      <w:pPr>
        <w:spacing w:line="276" w:lineRule="auto"/>
        <w:ind w:left="8078.740157480315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(пункт ___ розділу ____)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Перелік валідних методів психологічної діагностики, які можуть використовуватися психологами для проведення психологічної діагностики в межах надання соціальної послуги з формування життєстійкості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6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2515"/>
        <w:gridCol w:w="4706"/>
        <w:gridCol w:w="3038"/>
        <w:tblGridChange w:id="0">
          <w:tblGrid>
            <w:gridCol w:w="4110"/>
            <w:gridCol w:w="2515"/>
            <w:gridCol w:w="4706"/>
            <w:gridCol w:w="30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Назва психодіагностичної методики українською мовою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Міжнародна назва психодіагностичної методики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Короткий опис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Вікова група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Шкала резильєнтності Коннора–Девідсона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u w:val="none"/>
                <w:rtl w:val="0"/>
              </w:rPr>
              <w:t xml:space="preserve">Connor-Davidson Resilience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rtl w:val="0"/>
              </w:rPr>
              <w:t xml:space="preserve">(CD- RISC-10)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u w:val="no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Коротка версія шкали психологічної стійкості  для оцінки здатності людини адаптуватися до стресу та відновлюватися після труднощів.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12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Шкала загальної самоефективності (Р. Шварцер та М. Єрусалем), адаптована українською І. Галецькою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General Self-Efficacy Scale (GSE)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Психодіагностичний інструмент для оцінки загального рівня віри людини у власну здатність досягати цілей, долати труднощі та успішно діяти у складних ситуаціях.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14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Шкала багатовимірного оцінювання інтероцептивної усвідомленості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Multidimensional Assessment of Interoceptive Awareness (MAIA-2)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Шкала вимірює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наскільки людина усвідомлює сигнали свого тіла (наприклад, дихання, серцебиття, напругу м’язів) та як вона на них реагує у різних життєвих ситуаціях.MAIA-2 є оновленою версією оригінальної шкали MAIA, розробленої для тоншого розрізнення 8 аспектів інтероцептивної усвідомленості, зокрема: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Помічання (Noticing) — здатність звертати увагу на тілесні відчуття.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Не-відволікання (Not-Distracting) — схильність не ігнорувати неприємні тілесні сигнали.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Не-тривожність (Not-Worrying) — відсутність тривоги у відповідь на дискомфорт у тілі.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Регуляція уваги (Attention Regulation) — уміння свідомо зосереджувати увагу на відчуттях.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Емоційна усвідомленість (Emotional Awareness) — розуміння зв’язку між тілесними і емоційними станами.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Саморегуляція (Self-Regulation) — використання тілесного усвідомлення для емоційної стабілізації.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Слухання тіла (Body Listening) — здатність сприймати тілесні сигнали як підказки для дій.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Довіра до тіла (Body Trusting) — відчуття безпеки й надійності у власному тілі.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Дорослі від 18 років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u w:val="none"/>
                <w:rtl w:val="0"/>
              </w:rPr>
              <w:t xml:space="preserve">Українська адаптація опитувальника Brief-COPE (адаптація Т. Яблонська, О. Верник, Г. Гайворонський)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color w:val="1a0dab"/>
                <w:sz w:val="24"/>
                <w:szCs w:val="24"/>
                <w:highlight w:val="white"/>
                <w:u w:val="no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color w:val="000000"/>
                <w:sz w:val="24"/>
                <w:szCs w:val="24"/>
                <w:highlight w:val="white"/>
                <w:u w:val="none"/>
                <w:rtl w:val="0"/>
              </w:rPr>
              <w:t xml:space="preserve">Brief COPE-26 Coping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color w:val="1a0dab"/>
                <w:sz w:val="24"/>
                <w:szCs w:val="24"/>
                <w:highlight w:val="white"/>
                <w:u w:val="no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Коротка версія опитувальника, що призначена для оцінки стратегій подолання стресу (копінгу). Опитувальник охоплює як адаптивні, так і неадаптивні стратегії копінгу — наприклад, активне вирішення проблем, планування, використання емоційної підтримки, заперечення, уникнення, самозвинувачення тощо.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16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Методика дослідження копінг-поведінки в стресових ситуаціях (версія для дорослих)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 Coping Inventory for Stressful Situations (CISS-D) (Н. Ендлер, Дж. Паркер)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дозволяє визначити провідні стилі подолання стресу.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CISS оцінює три основні стратегії копінгу: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Орієнтація на задачу — активне вирішення проблемної ситуації.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Орієнтація на емоції — емоційні реакції, самозвинувачення, тривога.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Уникнення — відволікання, переключення уваги або пошук соціальної підтримки.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Дорослі від 18 років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Методика дослідження копінг-поведінки в стресових ситуаціях (версія для підлітків)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 Coping Inventory for Stressful Situations (CISS-S) (Н. Ендлер, Дж. Паркер)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дозволяє визначити провідні стилі подолання стресу.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CISS оцінює три основні стратегії копінгу: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Орієнтація на задачу — активне вирішення проблемної ситуації.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Орієнтація на емоції — емоційні реакції, самозвинувачення, тривога.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Уникнення — відволікання, переключення уваги або пошук соціальної підтримки.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13-17 років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Опитувальник “Стабільність психічного здоров’я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 коротка форма”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(адаптація Е.Л. Носенко, А.Г. Четверик-Бурчак)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Mental Health Continuum – Short Form (MHC-SF)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Скринінг-методика призначена для оцінки рівня психічної стійкості та благополуччя особистості.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виявляє загальний стан психічного здоров’я через оцінку таких параметрів, як емоційна рівновага, здатність до саморегуляції, задоволення життям і стресостійкість.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14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Методика “Шкала позитивного ментального здоров’я”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(адаптація Л.М. Карамушки, О.В. Креденцер, К.В. Терещенко)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Positive Mental Health Scale (PMH-Scale)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Психодіагностичний інструмент для оцінки рівня позитивного психічного здоров’я, що включає суб’єктивне благополуччя, життєстійкість, самооцінку та емоційну стабільність.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дозволяє виявити, наскільки людина відчуває себе психологічно стійкою, соціально включеною та емоційно врівноваженою.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16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Опитувальник «Індекс Благополуччя ВООЗ-5»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(адаптація Л.М. Карамушки, К.В. Терещенко, О.В. Креденцер)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WHO-5 Well-being 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Шкала, яка оцінює суб’єктивне емоційне благополуччя за останні два тижні.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Містить 5 позитивно сформульованих тверджень, які респондент оцінює за 6-бальною шкалою (від 0 до 5). Вищий загальний бал вказує на вищий рівень психологічного благополуччя.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14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Опитувальник самооцінки тривожності, фрустрації, агресивності та ригідності (адаптований варіант за Айзенком)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Self-Assessment of Anxiety, Frustration, Aggressiveness and Rigidity (adapted version of H. Eysenck’s Inventory)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Опитувальник дозволяє виявити індивідуально-психологічні особливості емоційно-вольової сфери особистості.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вимірює 4 ключові показники: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Тривожність — схильність до внутрішньої напруги й занепокоєння.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Фрустрація — емоційна реакція на перешкоди та невдачі.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Агресивність — рівень ворожості або імпульсивної реактивності.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Ригідність — труднощі в адаптації, низька гнучкість мислення й поведінки.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Підлітки від 14 років та дорослі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Методика оцінки копінг-поведінки дітей (CCSC)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Children’s Coping Strategies Checklist (CCSC)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Самозвітна методика, що вимірює, якими способами діти та підлітки долають стресові ситуації. Опитувальник структуровано у 4 загальні типи копінг-стратегій: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Активне подолання (Active Coping): планування, вирішення проблем, пошук розуміння, позитивна інтерпретація, вираження емоцій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Отримання підтримки (Support-Seeking): звернення за емоційною чи практичною допомогою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Відволікання (Distraction): фізичні та активні способи переключення уваги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Уникнення (Avoidance): когнітивне чи поведінкове ухилення від проблеми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  <w:rtl w:val="0"/>
              </w:rPr>
              <w:t xml:space="preserve">Діти 9-16 років</w:t>
            </w:r>
          </w:p>
        </w:tc>
      </w:tr>
    </w:tbl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bhtbml5y7z2e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3" w:default="1">
    <w:name w:val="Default Paragraph Font"/>
    <w:uiPriority w:val="0"/>
    <w:semiHidden w:val="1"/>
  </w:style>
  <w:style w:type="table" w:styleId="4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 w:val="24"/>
      <w:szCs w:val="24"/>
      <w:lang w:bidi="ar" w:eastAsia="zh-CN" w:val="en-US"/>
    </w:rPr>
  </w:style>
  <w:style w:type="character" w:styleId="7">
    <w:name w:val="Strong"/>
    <w:basedOn w:val="3"/>
    <w:uiPriority w:val="0"/>
    <w:qFormat w:val="1"/>
    <w:rPr>
      <w:b w:val="1"/>
      <w:bCs w:val="1"/>
    </w:rPr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lHnIulyLCjblXbGerF57iBB4iQ==">CgMxLjAyDmguYmh0Ym1sNXk3ejJlOAByITFYXzh5YkdRZUt2S3A2dG1WZ1lBbEgxVjRhMEtWR29OVw==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2025-07-28T11:18:00Z</dcterms:created>
  <dc:creator>Anastasiia Golotenko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B454094AF6104B1F870817E0D8C1C4ED_11</vt:lpwstr>
  </property>
</Properties>
</file>