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DD" w:rsidRPr="008467CB" w:rsidRDefault="00B840DD" w:rsidP="00B840DD">
      <w:pPr>
        <w:suppressAutoHyphens w:val="0"/>
        <w:jc w:val="center"/>
        <w:rPr>
          <w:b/>
          <w:color w:val="auto"/>
          <w:sz w:val="28"/>
          <w:szCs w:val="28"/>
          <w:lang w:eastAsia="uk-UA"/>
        </w:rPr>
      </w:pPr>
      <w:r w:rsidRPr="008467CB">
        <w:rPr>
          <w:b/>
          <w:color w:val="auto"/>
          <w:sz w:val="28"/>
          <w:szCs w:val="28"/>
          <w:highlight w:val="white"/>
          <w:lang w:eastAsia="uk-UA"/>
        </w:rPr>
        <w:t>ПО</w:t>
      </w:r>
      <w:r w:rsidRPr="008467CB">
        <w:rPr>
          <w:b/>
          <w:color w:val="auto"/>
          <w:sz w:val="28"/>
          <w:szCs w:val="28"/>
          <w:lang w:eastAsia="uk-UA"/>
        </w:rPr>
        <w:t>ЯСНЮВАЛЬНА ЗАПИСКА</w:t>
      </w:r>
    </w:p>
    <w:p w:rsidR="00B840DD" w:rsidRPr="008467CB" w:rsidRDefault="00B840DD" w:rsidP="00B840DD">
      <w:pPr>
        <w:suppressAutoHyphens w:val="0"/>
        <w:jc w:val="center"/>
        <w:rPr>
          <w:b/>
          <w:color w:val="auto"/>
          <w:sz w:val="28"/>
          <w:szCs w:val="28"/>
          <w:lang w:eastAsia="uk-UA"/>
        </w:rPr>
      </w:pPr>
      <w:r w:rsidRPr="008467CB">
        <w:rPr>
          <w:b/>
          <w:color w:val="auto"/>
          <w:sz w:val="28"/>
          <w:szCs w:val="28"/>
          <w:lang w:eastAsia="uk-UA"/>
        </w:rPr>
        <w:t>до проекту постанови Кабінету Міністрів України</w:t>
      </w:r>
    </w:p>
    <w:p w:rsidR="00B840DD" w:rsidRPr="007A112B" w:rsidRDefault="00B840DD" w:rsidP="00B840DD">
      <w:pPr>
        <w:ind w:firstLine="567"/>
        <w:jc w:val="center"/>
        <w:rPr>
          <w:b/>
          <w:sz w:val="28"/>
          <w:szCs w:val="28"/>
        </w:rPr>
      </w:pPr>
      <w:r w:rsidRPr="007A112B">
        <w:rPr>
          <w:b/>
          <w:sz w:val="28"/>
          <w:szCs w:val="28"/>
        </w:rPr>
        <w:t>„Про внесення змін до деяких постанов Кабінету Міністрів України з питань надання житлових субсидій та пільг на оплату житлово-комунальних послуг, придбання твердого палива і скрапленого газу та визнання такими, що втратили чинність, деяких постанов Кабінету Міністрів України</w:t>
      </w:r>
      <w:r w:rsidRPr="007A112B">
        <w:rPr>
          <w:b/>
          <w:color w:val="auto"/>
          <w:sz w:val="28"/>
          <w:szCs w:val="28"/>
        </w:rPr>
        <w:t>”</w:t>
      </w:r>
    </w:p>
    <w:p w:rsidR="00B840DD" w:rsidRDefault="00B840DD" w:rsidP="00B840DD">
      <w:pPr>
        <w:ind w:firstLine="709"/>
        <w:jc w:val="both"/>
        <w:rPr>
          <w:b/>
          <w:sz w:val="28"/>
          <w:szCs w:val="28"/>
        </w:rPr>
      </w:pPr>
    </w:p>
    <w:p w:rsidR="00B840DD" w:rsidRPr="00EC585E" w:rsidRDefault="00B840DD" w:rsidP="00B840DD">
      <w:pPr>
        <w:suppressAutoHyphens w:val="0"/>
        <w:ind w:firstLine="709"/>
        <w:jc w:val="both"/>
        <w:rPr>
          <w:color w:val="auto"/>
          <w:sz w:val="24"/>
          <w:szCs w:val="24"/>
          <w:lang w:eastAsia="uk-UA"/>
        </w:rPr>
      </w:pPr>
      <w:r w:rsidRPr="00EC585E">
        <w:rPr>
          <w:b/>
          <w:bCs/>
          <w:sz w:val="28"/>
          <w:szCs w:val="28"/>
          <w:lang w:eastAsia="uk-UA"/>
        </w:rPr>
        <w:t>1. Мета</w:t>
      </w:r>
    </w:p>
    <w:p w:rsidR="00B840DD" w:rsidRDefault="00B840DD" w:rsidP="00B840DD">
      <w:pPr>
        <w:suppressAutoHyphens w:val="0"/>
        <w:ind w:firstLine="709"/>
        <w:jc w:val="both"/>
        <w:rPr>
          <w:sz w:val="28"/>
          <w:szCs w:val="28"/>
          <w:lang w:eastAsia="uk-UA"/>
        </w:rPr>
      </w:pPr>
      <w:r w:rsidRPr="00EC585E">
        <w:rPr>
          <w:sz w:val="28"/>
          <w:szCs w:val="28"/>
          <w:lang w:eastAsia="uk-UA"/>
        </w:rPr>
        <w:t xml:space="preserve">Метою розроблення проекту акта є спрощення та адаптування до реалій воєнного часу механізмів звернення населення за житловою субсидією або звернення ветеранів війни </w:t>
      </w:r>
      <w:r>
        <w:rPr>
          <w:sz w:val="28"/>
          <w:szCs w:val="28"/>
          <w:lang w:eastAsia="uk-UA"/>
        </w:rPr>
        <w:t>або членів їх сімей за пільгами</w:t>
      </w:r>
      <w:r w:rsidRPr="00EC585E">
        <w:rPr>
          <w:sz w:val="28"/>
          <w:szCs w:val="28"/>
          <w:lang w:eastAsia="uk-UA"/>
        </w:rPr>
        <w:t xml:space="preserve"> на оплату житлово-комунальних послуг, придбання твердого палива і скрапленого газу.</w:t>
      </w:r>
    </w:p>
    <w:p w:rsidR="00B840DD" w:rsidRPr="00EC585E" w:rsidRDefault="00B840DD" w:rsidP="00B840DD">
      <w:pPr>
        <w:suppressAutoHyphens w:val="0"/>
        <w:ind w:firstLine="709"/>
        <w:jc w:val="both"/>
        <w:rPr>
          <w:color w:val="auto"/>
          <w:sz w:val="24"/>
          <w:szCs w:val="24"/>
          <w:lang w:eastAsia="uk-UA"/>
        </w:rPr>
      </w:pPr>
    </w:p>
    <w:p w:rsidR="00B840DD" w:rsidRPr="00EC585E" w:rsidRDefault="00B840DD" w:rsidP="00B840DD">
      <w:pPr>
        <w:suppressAutoHyphens w:val="0"/>
        <w:ind w:firstLine="709"/>
        <w:jc w:val="both"/>
        <w:rPr>
          <w:color w:val="auto"/>
          <w:sz w:val="24"/>
          <w:szCs w:val="24"/>
          <w:lang w:eastAsia="uk-UA"/>
        </w:rPr>
      </w:pPr>
      <w:r w:rsidRPr="00EC585E">
        <w:rPr>
          <w:b/>
          <w:bCs/>
          <w:sz w:val="28"/>
          <w:szCs w:val="28"/>
          <w:lang w:eastAsia="uk-UA"/>
        </w:rPr>
        <w:t>2. Обґрунтування необхідності прийняття акта</w:t>
      </w:r>
    </w:p>
    <w:p w:rsidR="00B840DD" w:rsidRPr="00EC585E" w:rsidRDefault="00B840DD" w:rsidP="00B840DD">
      <w:pPr>
        <w:suppressAutoHyphens w:val="0"/>
        <w:ind w:firstLine="709"/>
        <w:jc w:val="both"/>
        <w:rPr>
          <w:color w:val="auto"/>
          <w:sz w:val="24"/>
          <w:szCs w:val="24"/>
          <w:lang w:eastAsia="uk-UA"/>
        </w:rPr>
      </w:pPr>
      <w:r w:rsidRPr="00EC585E">
        <w:rPr>
          <w:sz w:val="28"/>
          <w:szCs w:val="28"/>
          <w:lang w:eastAsia="uk-UA"/>
        </w:rPr>
        <w:t xml:space="preserve">Проект акта розроблено Міністерством соціальної політики України на виконання пункту 7 постанови Кабінету Міністрів України від </w:t>
      </w:r>
      <w:r>
        <w:rPr>
          <w:sz w:val="28"/>
          <w:szCs w:val="28"/>
          <w:lang w:eastAsia="uk-UA"/>
        </w:rPr>
        <w:t xml:space="preserve">                                                    </w:t>
      </w:r>
      <w:r w:rsidRPr="00EC585E">
        <w:rPr>
          <w:sz w:val="28"/>
          <w:szCs w:val="28"/>
          <w:lang w:eastAsia="uk-UA"/>
        </w:rPr>
        <w:t>13</w:t>
      </w:r>
      <w:r>
        <w:rPr>
          <w:sz w:val="28"/>
          <w:szCs w:val="28"/>
          <w:lang w:eastAsia="uk-UA"/>
        </w:rPr>
        <w:t>.06.2023</w:t>
      </w:r>
      <w:r w:rsidRPr="00EC585E">
        <w:rPr>
          <w:sz w:val="28"/>
          <w:szCs w:val="28"/>
          <w:lang w:eastAsia="uk-UA"/>
        </w:rPr>
        <w:t xml:space="preserve"> № 601 „Про </w:t>
      </w:r>
      <w:r w:rsidRPr="00EC585E">
        <w:rPr>
          <w:sz w:val="28"/>
          <w:szCs w:val="28"/>
          <w:shd w:val="clear" w:color="auto" w:fill="FFFFFF"/>
          <w:lang w:eastAsia="uk-UA"/>
        </w:rPr>
        <w:t xml:space="preserve">реалізацію експериментального проекту щодо удосконалення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(далі – </w:t>
      </w:r>
      <w:r w:rsidRPr="00EC585E">
        <w:rPr>
          <w:sz w:val="28"/>
          <w:szCs w:val="28"/>
          <w:lang w:eastAsia="uk-UA"/>
        </w:rPr>
        <w:t>експериментальний проект спрощення надання субсидії)</w:t>
      </w:r>
      <w:r w:rsidRPr="00EC585E">
        <w:rPr>
          <w:sz w:val="28"/>
          <w:szCs w:val="28"/>
          <w:shd w:val="clear" w:color="auto" w:fill="FFFFFF"/>
          <w:lang w:eastAsia="uk-UA"/>
        </w:rPr>
        <w:t xml:space="preserve">, та підпункту 3 пункту 5 </w:t>
      </w:r>
      <w:r w:rsidRPr="00EC585E">
        <w:rPr>
          <w:sz w:val="28"/>
          <w:szCs w:val="28"/>
          <w:lang w:eastAsia="uk-UA"/>
        </w:rPr>
        <w:t>постанови Кабінету Міністрів України від 27</w:t>
      </w:r>
      <w:r>
        <w:rPr>
          <w:sz w:val="28"/>
          <w:szCs w:val="28"/>
          <w:lang w:eastAsia="uk-UA"/>
        </w:rPr>
        <w:t>.12.</w:t>
      </w:r>
      <w:r w:rsidRPr="00EC585E">
        <w:rPr>
          <w:sz w:val="28"/>
          <w:szCs w:val="28"/>
          <w:lang w:eastAsia="uk-UA"/>
        </w:rPr>
        <w:t xml:space="preserve">2023 </w:t>
      </w:r>
      <w:r>
        <w:rPr>
          <w:sz w:val="28"/>
          <w:szCs w:val="28"/>
          <w:lang w:eastAsia="uk-UA"/>
        </w:rPr>
        <w:t xml:space="preserve"> </w:t>
      </w:r>
      <w:r w:rsidRPr="00EC585E">
        <w:rPr>
          <w:sz w:val="28"/>
          <w:szCs w:val="28"/>
          <w:lang w:eastAsia="uk-UA"/>
        </w:rPr>
        <w:t xml:space="preserve"> № 1395 </w:t>
      </w:r>
      <w:r>
        <w:rPr>
          <w:sz w:val="28"/>
          <w:szCs w:val="28"/>
          <w:lang w:eastAsia="uk-UA"/>
        </w:rPr>
        <w:t>„</w:t>
      </w:r>
      <w:r w:rsidRPr="00EC585E">
        <w:rPr>
          <w:sz w:val="28"/>
          <w:szCs w:val="28"/>
          <w:lang w:eastAsia="uk-UA"/>
        </w:rPr>
        <w:t>Про реалізацію експериментального проекту з удосконалення порядку взяття на облік ветеранів війни і надання їм пільг на оплату житлово-комунальних послуг, придбання твердого палива і скрапленого газу” (далі</w:t>
      </w:r>
      <w:r>
        <w:rPr>
          <w:sz w:val="28"/>
          <w:szCs w:val="28"/>
          <w:lang w:eastAsia="uk-UA"/>
        </w:rPr>
        <w:t xml:space="preserve"> –</w:t>
      </w:r>
      <w:r w:rsidRPr="00EC585E">
        <w:rPr>
          <w:sz w:val="28"/>
          <w:szCs w:val="28"/>
          <w:lang w:eastAsia="uk-UA"/>
        </w:rPr>
        <w:t xml:space="preserve"> експериментальний проект спрощення обліку і надання пільг), </w:t>
      </w:r>
      <w:r w:rsidRPr="00EC585E">
        <w:rPr>
          <w:sz w:val="28"/>
          <w:szCs w:val="28"/>
          <w:shd w:val="clear" w:color="auto" w:fill="FFFFFF"/>
          <w:lang w:eastAsia="uk-UA"/>
        </w:rPr>
        <w:t xml:space="preserve">відповідно до яких Мінсоцполітики необхідно подати Кабінету Міністрів України пропозиції щодо вдосконалення законодавства у сфері надання житлових субсидій на оплату житлово-комунальних послуг, придбання твердого та рідкого пічного побутового палива і скрапленого газу та </w:t>
      </w:r>
      <w:r w:rsidRPr="00EC585E">
        <w:rPr>
          <w:color w:val="333333"/>
          <w:sz w:val="28"/>
          <w:szCs w:val="28"/>
          <w:shd w:val="clear" w:color="auto" w:fill="FFFFFF"/>
          <w:lang w:eastAsia="uk-UA"/>
        </w:rPr>
        <w:t xml:space="preserve">пропозиції щодо внесення змін до законодавчих актів, які регламентують порядок </w:t>
      </w:r>
      <w:r w:rsidRPr="00EC585E">
        <w:rPr>
          <w:sz w:val="28"/>
          <w:szCs w:val="28"/>
          <w:lang w:eastAsia="uk-UA"/>
        </w:rPr>
        <w:t>внесення відомостей про ветерана війни до Реєстру осіб, які мають право на пільги (далі – Реєстр), та порядок виплати відповідних державних гарантій.</w:t>
      </w:r>
    </w:p>
    <w:p w:rsidR="00B840DD" w:rsidRPr="00EC585E" w:rsidRDefault="00B840DD" w:rsidP="00B840DD">
      <w:pPr>
        <w:suppressAutoHyphens w:val="0"/>
        <w:ind w:firstLine="709"/>
        <w:jc w:val="both"/>
        <w:rPr>
          <w:color w:val="auto"/>
          <w:sz w:val="24"/>
          <w:szCs w:val="24"/>
          <w:lang w:eastAsia="uk-UA"/>
        </w:rPr>
      </w:pPr>
      <w:r w:rsidRPr="00EC585E">
        <w:rPr>
          <w:sz w:val="28"/>
          <w:szCs w:val="28"/>
          <w:lang w:eastAsia="uk-UA"/>
        </w:rPr>
        <w:t xml:space="preserve">Таким чином пропонується внесення змін до Положення про порядок призначення житлових субсидій, затвердженого постановою Кабінету Міністрів України від 21.10.1995 № 848 (зі змінами) (далі - Положення № 848), та до Порядку  надання пільг на оплату житлово-комунальних послуг, придбання твердого палива і скрапленого газу у грошовій формі, затвердженого постановою Кабінету Міністрів України від 17.04.2019 № 373 „Деякі питання надання житлових субсидій та пільг на оплату житлово-комунальних послуг, придбання твердого палива і скрапленого газу у грошовій формі” (зі змінами) (далі – Порядок № 373), передбачивши, що призначення житлових субсидій, яке діяло відповідно до експериментального проекту спрощення надання субсидії, і надання пільг ветеранам війни, який діяв відповідно до експериментального проекту спрощення обліку і надання пільг, буде проводитись відповідно до норм Положення № 848 і </w:t>
      </w:r>
      <w:r>
        <w:rPr>
          <w:sz w:val="28"/>
          <w:szCs w:val="28"/>
          <w:lang w:eastAsia="uk-UA"/>
        </w:rPr>
        <w:t xml:space="preserve">                           </w:t>
      </w:r>
      <w:r w:rsidRPr="00EC585E">
        <w:rPr>
          <w:sz w:val="28"/>
          <w:szCs w:val="28"/>
          <w:lang w:eastAsia="uk-UA"/>
        </w:rPr>
        <w:t>Порядку № 373.</w:t>
      </w:r>
    </w:p>
    <w:p w:rsidR="00B840DD" w:rsidRPr="00EC585E" w:rsidRDefault="00B840DD" w:rsidP="00B840DD">
      <w:pPr>
        <w:suppressAutoHyphens w:val="0"/>
        <w:ind w:firstLine="709"/>
        <w:jc w:val="both"/>
        <w:rPr>
          <w:color w:val="auto"/>
          <w:sz w:val="24"/>
          <w:szCs w:val="24"/>
          <w:lang w:eastAsia="uk-UA"/>
        </w:rPr>
      </w:pPr>
      <w:r w:rsidRPr="00EC585E">
        <w:rPr>
          <w:sz w:val="28"/>
          <w:szCs w:val="28"/>
          <w:lang w:eastAsia="uk-UA"/>
        </w:rPr>
        <w:lastRenderedPageBreak/>
        <w:t>Експериментальні проекти були розроблені з урахуванням стратегії цифровізації соціальної сфери із максимальним залученням цифрових рішень використання автоматичного збору інформації в державних реєстрах та її перевірки шляхом інформаційних обмінів, для спрощення процедури звернення, мінімізації кількості відомостей, що подаються заявниками та з метою прийняття швидкого рішення щодо надання житлової субсидії, внесення інформації про пільговика до Реєстру та надання пільг, тобто підвищення доступності громадян до соціальної підтримки.</w:t>
      </w:r>
    </w:p>
    <w:p w:rsidR="00B840DD" w:rsidRPr="00EC585E" w:rsidRDefault="00B840DD" w:rsidP="00B840DD">
      <w:pPr>
        <w:suppressAutoHyphens w:val="0"/>
        <w:ind w:firstLine="709"/>
        <w:jc w:val="both"/>
        <w:rPr>
          <w:color w:val="auto"/>
          <w:sz w:val="24"/>
          <w:szCs w:val="24"/>
          <w:lang w:eastAsia="uk-UA"/>
        </w:rPr>
      </w:pPr>
      <w:r w:rsidRPr="00EC585E">
        <w:rPr>
          <w:sz w:val="28"/>
          <w:szCs w:val="28"/>
          <w:lang w:eastAsia="uk-UA"/>
        </w:rPr>
        <w:t>Однак під час реалізації експериментів були виявлені певні недосконалості та складнощі, зокрема, при взаємодії з надавачами житлово-комунальних послуг та об'єднаннями співвласників багатоквартирних будинків.</w:t>
      </w:r>
    </w:p>
    <w:p w:rsidR="00B840DD" w:rsidRPr="00EC585E" w:rsidRDefault="00B840DD" w:rsidP="00B840DD">
      <w:pPr>
        <w:suppressAutoHyphens w:val="0"/>
        <w:ind w:firstLine="709"/>
        <w:jc w:val="both"/>
        <w:rPr>
          <w:color w:val="auto"/>
          <w:sz w:val="24"/>
          <w:szCs w:val="24"/>
          <w:lang w:eastAsia="uk-UA"/>
        </w:rPr>
      </w:pPr>
      <w:r w:rsidRPr="00EC585E">
        <w:rPr>
          <w:sz w:val="28"/>
          <w:szCs w:val="28"/>
          <w:lang w:eastAsia="uk-UA"/>
        </w:rPr>
        <w:t>Експериментальними проектами було передбачено надання виконавцями послуг, об’єднаннями співвласників багатоквартирних будинків / житлово-будівельними кооперативами інформації про перелік житлово-комунальних послуг, встановлену та/або змінену ціну і тарифи/внески на них, адреси обслуговування, ціну на послугу, розмір внесків/платежів на послуги, що технічно реалізовано шляхом подання цієї інформації в електронній формі через особистий кабінет на веб-порталі електронних послуг Пенсійного фонду України. Разом з тим, досі залишаються непоодинокими випадки ненадання або несвоєчасне надання всього пулу інформації, необхідної для виявлення послуг, яким користується конкретне домогосподарство та прийняття відповідного рішення і розрахунку виплат органам Пенсійного фонду України. </w:t>
      </w:r>
    </w:p>
    <w:p w:rsidR="00B840DD" w:rsidRPr="00EC585E" w:rsidRDefault="00B840DD" w:rsidP="00B840DD">
      <w:pPr>
        <w:suppressAutoHyphens w:val="0"/>
        <w:ind w:firstLine="709"/>
        <w:jc w:val="both"/>
        <w:rPr>
          <w:color w:val="auto"/>
          <w:sz w:val="24"/>
          <w:szCs w:val="24"/>
          <w:lang w:eastAsia="uk-UA"/>
        </w:rPr>
      </w:pPr>
      <w:r w:rsidRPr="00EC585E">
        <w:rPr>
          <w:sz w:val="28"/>
          <w:szCs w:val="28"/>
          <w:lang w:eastAsia="uk-UA"/>
        </w:rPr>
        <w:t>Тому оскільки експериментальний проект спрощення надання субсидії, який завершується 07.07.2025, а експериментальний проект спрощення обліку і надання пільг, який завершується 06.02.2026, показали свою ефективність, водночас потребують деякого вдосконалення, пропонується передбачити в загальних порядках звернення за житловою субсидією та пільгою два альтернативних варіанти на вибір заявника: поточний та спрощений. Так, пропонується закріпити можливість подання особами універсальної заяви про призначення та надання житлової субсидії, яка на відміну від спрощеної заяви за експериментальним проектом, наповнюється відомостями про виконавців послуг та особові рахунки отримувачів послуг, які надаються безпосередньо заявниками. Також пропонується можливість подання для ветеранів війни заяви про взяття на облік надання пільг на оплату житлово-комунальних послуг,  придбання твердого палива і скрапленого газу, яка також наповнюється відомостями про виконавців послуг та особові рахунки отримувачів послуг, які надаються безпосередньо заявниками.</w:t>
      </w:r>
    </w:p>
    <w:p w:rsidR="00B840DD" w:rsidRPr="00EC585E" w:rsidRDefault="00B840DD" w:rsidP="00B840DD">
      <w:pPr>
        <w:suppressAutoHyphens w:val="0"/>
        <w:ind w:firstLine="709"/>
        <w:jc w:val="both"/>
        <w:rPr>
          <w:color w:val="auto"/>
          <w:sz w:val="24"/>
          <w:szCs w:val="24"/>
          <w:lang w:eastAsia="uk-UA"/>
        </w:rPr>
      </w:pPr>
      <w:r w:rsidRPr="00EC585E">
        <w:rPr>
          <w:sz w:val="28"/>
          <w:szCs w:val="28"/>
          <w:lang w:eastAsia="uk-UA"/>
        </w:rPr>
        <w:t> Такі доопрацьовані форми заяв відомостями про надавачів послуг все ж містять набагато менше інформації, ніж загальні форми звернення. Після їх впровадження і дослідження використання населенням через певний проміжок часу можна буде взагалі буде відмовитися від розширених форм звернення, які складні та громіздкі за наповненням, однак поки необхідні в період удосконалення і пошуку оптимальної версії універсальної заяви.</w:t>
      </w:r>
    </w:p>
    <w:p w:rsidR="00B840DD" w:rsidRDefault="00B840DD" w:rsidP="00B840DD">
      <w:pPr>
        <w:suppressAutoHyphens w:val="0"/>
        <w:ind w:firstLine="709"/>
        <w:jc w:val="both"/>
        <w:rPr>
          <w:sz w:val="28"/>
          <w:szCs w:val="28"/>
          <w:lang w:eastAsia="uk-UA"/>
        </w:rPr>
      </w:pPr>
      <w:r w:rsidRPr="00EC585E">
        <w:rPr>
          <w:sz w:val="28"/>
          <w:szCs w:val="28"/>
          <w:lang w:eastAsia="uk-UA"/>
        </w:rPr>
        <w:t xml:space="preserve">Крім того, пропонується достроково закінчити експериментальний проект спрощення обліку і надання пільг та  врегулювати питання, у тому числі обліку ветеранів війни, які потрапили у полон держави-агресора або у разі визнання їх зниклими безвісти за особливих обставин. Пропонується передбачити </w:t>
      </w:r>
      <w:r w:rsidRPr="00EC585E">
        <w:rPr>
          <w:sz w:val="28"/>
          <w:szCs w:val="28"/>
          <w:lang w:eastAsia="uk-UA"/>
        </w:rPr>
        <w:lastRenderedPageBreak/>
        <w:t xml:space="preserve">можливість надання їм пільг на оплату житлово-комунальних послуг, придбання твердого палива і скрапленого газу, за зверненням родичів першої лінії споріднення, на яких відповідно до діючого законодавства не поширюються пільги,. Такі пільги будуть накопичуватися на рахунку ветерана до його повернення і виплачуватися за його зверненням або виплачуватися родичам за процедурою спадкування, у разі загибелі. Крім того, оскільки </w:t>
      </w:r>
      <w:r w:rsidRPr="00EC585E">
        <w:rPr>
          <w:sz w:val="28"/>
          <w:szCs w:val="28"/>
          <w:shd w:val="clear" w:color="auto" w:fill="FFFFFF"/>
          <w:lang w:eastAsia="uk-UA"/>
        </w:rPr>
        <w:t>витяг з Єдиного державного реєстру ветеранів війни (далі-  витяг з ЄДРВВ), є одним з документів, на підставі якого ветеранам війни надаються пільги, проектом акта передбачено облік і надання пільг ветеранам війни, у тому числі таким, які потрапили у полон держави-агресора або у разі визнання їх зниклими безвісти за особливих обставин, на підставі пред’явленого витягу з ЄДРВВ членами сім’ї пільговика, на яких поширюються пільги, а також</w:t>
      </w:r>
      <w:r w:rsidRPr="00EC585E">
        <w:rPr>
          <w:sz w:val="28"/>
          <w:szCs w:val="28"/>
          <w:lang w:eastAsia="uk-UA"/>
        </w:rPr>
        <w:t xml:space="preserve"> родичами першої лінії споріднення, на яких відповідно до діючого законодавства не поширюються пільги.</w:t>
      </w:r>
    </w:p>
    <w:p w:rsidR="00B840DD" w:rsidRPr="00EC585E" w:rsidRDefault="00B840DD" w:rsidP="00B840DD">
      <w:pPr>
        <w:suppressAutoHyphens w:val="0"/>
        <w:ind w:firstLine="709"/>
        <w:jc w:val="both"/>
        <w:rPr>
          <w:color w:val="auto"/>
          <w:sz w:val="24"/>
          <w:szCs w:val="24"/>
          <w:lang w:eastAsia="uk-UA"/>
        </w:rPr>
      </w:pPr>
    </w:p>
    <w:p w:rsidR="00B840DD" w:rsidRPr="00EC585E" w:rsidRDefault="00B840DD" w:rsidP="00B840DD">
      <w:pPr>
        <w:suppressAutoHyphens w:val="0"/>
        <w:ind w:firstLine="709"/>
        <w:jc w:val="both"/>
        <w:rPr>
          <w:color w:val="auto"/>
          <w:sz w:val="24"/>
          <w:szCs w:val="24"/>
          <w:lang w:eastAsia="uk-UA"/>
        </w:rPr>
      </w:pPr>
      <w:r w:rsidRPr="00EC585E">
        <w:rPr>
          <w:b/>
          <w:bCs/>
          <w:sz w:val="28"/>
          <w:szCs w:val="28"/>
          <w:lang w:eastAsia="uk-UA"/>
        </w:rPr>
        <w:t>3. Основні положення проекту акта</w:t>
      </w:r>
    </w:p>
    <w:p w:rsidR="00B840DD" w:rsidRPr="00EC585E" w:rsidRDefault="00B840DD" w:rsidP="00B840DD">
      <w:pPr>
        <w:suppressAutoHyphens w:val="0"/>
        <w:ind w:firstLine="709"/>
        <w:jc w:val="both"/>
        <w:rPr>
          <w:color w:val="auto"/>
          <w:sz w:val="24"/>
          <w:szCs w:val="24"/>
          <w:lang w:eastAsia="uk-UA"/>
        </w:rPr>
      </w:pPr>
      <w:r w:rsidRPr="00EC585E">
        <w:rPr>
          <w:sz w:val="28"/>
          <w:szCs w:val="28"/>
          <w:lang w:eastAsia="uk-UA"/>
        </w:rPr>
        <w:t>Проектом акта пропонується:</w:t>
      </w:r>
    </w:p>
    <w:p w:rsidR="00B840DD" w:rsidRPr="00EC585E" w:rsidRDefault="00B840DD" w:rsidP="00B840DD">
      <w:pPr>
        <w:numPr>
          <w:ilvl w:val="0"/>
          <w:numId w:val="1"/>
        </w:numPr>
        <w:suppressAutoHyphens w:val="0"/>
        <w:jc w:val="both"/>
        <w:textAlignment w:val="baseline"/>
        <w:rPr>
          <w:sz w:val="28"/>
          <w:szCs w:val="28"/>
          <w:lang w:eastAsia="uk-UA"/>
        </w:rPr>
      </w:pPr>
      <w:r w:rsidRPr="00EC585E">
        <w:rPr>
          <w:sz w:val="28"/>
          <w:szCs w:val="28"/>
          <w:lang w:eastAsia="uk-UA"/>
        </w:rPr>
        <w:t>завершити експериментальний проект спрощення надання субсидії та експериментальний проект спрощення обліку і надання пільг; </w:t>
      </w:r>
    </w:p>
    <w:p w:rsidR="00B840DD" w:rsidRPr="00EC585E" w:rsidRDefault="00B840DD" w:rsidP="00B840DD">
      <w:pPr>
        <w:numPr>
          <w:ilvl w:val="0"/>
          <w:numId w:val="1"/>
        </w:numPr>
        <w:suppressAutoHyphens w:val="0"/>
        <w:jc w:val="both"/>
        <w:textAlignment w:val="baseline"/>
        <w:rPr>
          <w:sz w:val="28"/>
          <w:szCs w:val="28"/>
          <w:lang w:eastAsia="uk-UA"/>
        </w:rPr>
      </w:pPr>
      <w:r w:rsidRPr="00EC585E">
        <w:rPr>
          <w:sz w:val="28"/>
          <w:szCs w:val="28"/>
          <w:lang w:eastAsia="uk-UA"/>
        </w:rPr>
        <w:t>закріпити у Положенні № 848 можливості подання особами універсальної заяви, яка є вдосконаленою формою спрощеного звернення за результатами експеримента</w:t>
      </w:r>
      <w:r>
        <w:rPr>
          <w:sz w:val="28"/>
          <w:szCs w:val="28"/>
          <w:lang w:eastAsia="uk-UA"/>
        </w:rPr>
        <w:t>льного проекту, що завершується</w:t>
      </w:r>
      <w:r w:rsidRPr="00EC585E">
        <w:rPr>
          <w:sz w:val="28"/>
          <w:szCs w:val="28"/>
          <w:lang w:eastAsia="uk-UA"/>
        </w:rPr>
        <w:t>. Спрощена форма для підвищення конверсії позитивних рішень органів Пенсійного фонду України доповнена полями для надання заявником відомостей про виконавців житлово-комунальних послуг;</w:t>
      </w:r>
    </w:p>
    <w:p w:rsidR="00B840DD" w:rsidRPr="00EC585E" w:rsidRDefault="00B840DD" w:rsidP="00B840DD">
      <w:pPr>
        <w:numPr>
          <w:ilvl w:val="0"/>
          <w:numId w:val="1"/>
        </w:numPr>
        <w:suppressAutoHyphens w:val="0"/>
        <w:jc w:val="both"/>
        <w:textAlignment w:val="baseline"/>
        <w:rPr>
          <w:sz w:val="28"/>
          <w:szCs w:val="28"/>
          <w:lang w:eastAsia="uk-UA"/>
        </w:rPr>
      </w:pPr>
      <w:r w:rsidRPr="00EC585E">
        <w:rPr>
          <w:sz w:val="28"/>
          <w:szCs w:val="28"/>
          <w:lang w:eastAsia="uk-UA"/>
        </w:rPr>
        <w:t>закріпити у Порядку № 373 можливості подання для ветеранів війни заяви про взяття на облік надання пільг на оплату житлово-комунальних послуг,  придбання твердого палива і скрапленого газу, яка є вдосконаленою формою спрощеного звернення згідно з експериментальним проектом, що завершується.  Спрощена форма для підвищення конверсії позитивних рішень органів Пенсійного фонду України  доповнена полями для надання заявником відомостей про виконавців житлово-комунальних послуг та передбачення можливість підтвердження статусу ветерана війни витягом з ЄДРВВ;</w:t>
      </w:r>
    </w:p>
    <w:p w:rsidR="00B840DD" w:rsidRPr="00EC585E" w:rsidRDefault="00B840DD" w:rsidP="00B840DD">
      <w:pPr>
        <w:numPr>
          <w:ilvl w:val="0"/>
          <w:numId w:val="1"/>
        </w:numPr>
        <w:suppressAutoHyphens w:val="0"/>
        <w:jc w:val="both"/>
        <w:textAlignment w:val="baseline"/>
        <w:rPr>
          <w:sz w:val="28"/>
          <w:szCs w:val="28"/>
          <w:lang w:eastAsia="uk-UA"/>
        </w:rPr>
      </w:pPr>
      <w:r w:rsidRPr="00EC585E">
        <w:rPr>
          <w:sz w:val="28"/>
          <w:szCs w:val="28"/>
          <w:lang w:eastAsia="uk-UA"/>
        </w:rPr>
        <w:t>використання витягу з ЄДРВВ як документа, що підтверджує статус ветеранів війни для надання їм всіх передбачених законодавством адмін</w:t>
      </w:r>
      <w:r>
        <w:rPr>
          <w:sz w:val="28"/>
          <w:szCs w:val="28"/>
          <w:lang w:eastAsia="uk-UA"/>
        </w:rPr>
        <w:t xml:space="preserve">істративних </w:t>
      </w:r>
      <w:r w:rsidRPr="00EC585E">
        <w:rPr>
          <w:sz w:val="28"/>
          <w:szCs w:val="28"/>
          <w:lang w:eastAsia="uk-UA"/>
        </w:rPr>
        <w:t>послуг органами Пенсійного фонду України;</w:t>
      </w:r>
    </w:p>
    <w:p w:rsidR="00B840DD" w:rsidRPr="00EC585E" w:rsidRDefault="00B840DD" w:rsidP="00B840DD">
      <w:pPr>
        <w:numPr>
          <w:ilvl w:val="0"/>
          <w:numId w:val="1"/>
        </w:numPr>
        <w:suppressAutoHyphens w:val="0"/>
        <w:jc w:val="both"/>
        <w:textAlignment w:val="baseline"/>
        <w:rPr>
          <w:sz w:val="28"/>
          <w:szCs w:val="28"/>
          <w:lang w:eastAsia="uk-UA"/>
        </w:rPr>
      </w:pPr>
      <w:r w:rsidRPr="00EC585E">
        <w:rPr>
          <w:sz w:val="28"/>
          <w:szCs w:val="28"/>
          <w:lang w:eastAsia="uk-UA"/>
        </w:rPr>
        <w:t>врегулювання питання надання ветеранам війни, які потрапили у полон держави-агресора або у разі визнання їх зниклими безвісти за особливих обставин, і яким надано статус учасника бойових дій після вказаних обставин, пільг на оплату житлово-комунальних послуг, придбання твердого палива і скрапленого газу. Можливість накопичення нарахованих коштів на рахунку, відкритим органом Пенсійного фонду України, до повернення такого ветерана з полону з подальшою виплатою накопичених коштів;</w:t>
      </w:r>
    </w:p>
    <w:p w:rsidR="00B840DD" w:rsidRDefault="00B840DD" w:rsidP="00B840DD">
      <w:pPr>
        <w:numPr>
          <w:ilvl w:val="0"/>
          <w:numId w:val="1"/>
        </w:numPr>
        <w:suppressAutoHyphens w:val="0"/>
        <w:jc w:val="both"/>
        <w:textAlignment w:val="baseline"/>
        <w:rPr>
          <w:sz w:val="28"/>
          <w:szCs w:val="28"/>
          <w:lang w:eastAsia="uk-UA"/>
        </w:rPr>
      </w:pPr>
      <w:r w:rsidRPr="00EC585E">
        <w:rPr>
          <w:sz w:val="28"/>
          <w:szCs w:val="28"/>
          <w:lang w:eastAsia="uk-UA"/>
        </w:rPr>
        <w:t xml:space="preserve">передбачення можливості звернення щодо нарахування пільг ветерану війни, який потрапив у полон держави-агресора, членами сім'ї, які не </w:t>
      </w:r>
      <w:r w:rsidRPr="00EC585E">
        <w:rPr>
          <w:sz w:val="28"/>
          <w:szCs w:val="28"/>
          <w:lang w:eastAsia="uk-UA"/>
        </w:rPr>
        <w:lastRenderedPageBreak/>
        <w:t>мають право на пільги, але пов'язані з ветераном війни родинними зв'язками першої лінії споріднення (зокрема працездатні батьки).</w:t>
      </w:r>
    </w:p>
    <w:p w:rsidR="00B840DD" w:rsidRPr="00EC585E" w:rsidRDefault="00B840DD" w:rsidP="00B840DD">
      <w:pPr>
        <w:suppressAutoHyphens w:val="0"/>
        <w:ind w:left="720"/>
        <w:jc w:val="both"/>
        <w:textAlignment w:val="baseline"/>
        <w:rPr>
          <w:sz w:val="28"/>
          <w:szCs w:val="28"/>
          <w:lang w:eastAsia="uk-UA"/>
        </w:rPr>
      </w:pPr>
    </w:p>
    <w:p w:rsidR="00B840DD" w:rsidRPr="00EC585E" w:rsidRDefault="00B840DD" w:rsidP="00B840DD">
      <w:pPr>
        <w:suppressAutoHyphens w:val="0"/>
        <w:ind w:firstLine="709"/>
        <w:jc w:val="both"/>
        <w:rPr>
          <w:color w:val="auto"/>
          <w:sz w:val="24"/>
          <w:szCs w:val="24"/>
          <w:lang w:eastAsia="uk-UA"/>
        </w:rPr>
      </w:pPr>
      <w:r w:rsidRPr="00EC585E">
        <w:rPr>
          <w:sz w:val="28"/>
          <w:szCs w:val="28"/>
          <w:lang w:eastAsia="uk-UA"/>
        </w:rPr>
        <w:t> </w:t>
      </w:r>
      <w:r w:rsidRPr="00EC585E">
        <w:rPr>
          <w:b/>
          <w:bCs/>
          <w:sz w:val="28"/>
          <w:szCs w:val="28"/>
          <w:lang w:eastAsia="uk-UA"/>
        </w:rPr>
        <w:t>4. Правові аспекти</w:t>
      </w:r>
    </w:p>
    <w:p w:rsidR="00B840DD" w:rsidRDefault="00B840DD" w:rsidP="00B840DD">
      <w:pPr>
        <w:suppressAutoHyphens w:val="0"/>
        <w:ind w:firstLine="709"/>
        <w:jc w:val="both"/>
        <w:rPr>
          <w:sz w:val="28"/>
          <w:szCs w:val="28"/>
          <w:lang w:eastAsia="uk-UA"/>
        </w:rPr>
      </w:pPr>
      <w:r w:rsidRPr="00EC585E">
        <w:rPr>
          <w:sz w:val="28"/>
          <w:szCs w:val="28"/>
          <w:lang w:eastAsia="uk-UA"/>
        </w:rPr>
        <w:t>У цій сфері правового регулювання діють Положення про порядок призначення житлових субсидій, затверджене постановою Кабінету Міністрів України від 21 жовтня 1995 р. №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(зі змінами), Положення про Реєстр осіб, які мають право на пільги, затверджене постановою Кабінету Міністрів України від 29.01.2003 № 117 (зі змінами),  Порядок надання пільг на оплату житлово-комунальних послуг, придбання твердого палива і скрапленого газу у грошовій формі, затверджений постановою Кабінету Міністрів України від 17.04.2019 № 373 „</w:t>
      </w:r>
      <w:r w:rsidRPr="00EC585E">
        <w:rPr>
          <w:sz w:val="28"/>
          <w:szCs w:val="28"/>
          <w:shd w:val="clear" w:color="auto" w:fill="FFFFFF"/>
          <w:lang w:eastAsia="uk-UA"/>
        </w:rPr>
        <w:t>Деякі питання надання житлових субсидій та пільг на оплату житлово-комунальних послуг, придбання твердого палива і скрапленого газу у грошовій формі”</w:t>
      </w:r>
      <w:r w:rsidRPr="00EC585E">
        <w:rPr>
          <w:sz w:val="28"/>
          <w:szCs w:val="28"/>
          <w:lang w:eastAsia="uk-UA"/>
        </w:rPr>
        <w:t xml:space="preserve"> (зі змінами), Порядок </w:t>
      </w:r>
      <w:r w:rsidRPr="00EC585E">
        <w:rPr>
          <w:sz w:val="28"/>
          <w:szCs w:val="28"/>
          <w:shd w:val="clear" w:color="auto" w:fill="FFFFFF"/>
          <w:lang w:eastAsia="uk-UA"/>
        </w:rPr>
        <w:t xml:space="preserve">реалізації експериментального проекту щодо удосконалення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затверджений </w:t>
      </w:r>
      <w:r w:rsidRPr="00EC585E">
        <w:rPr>
          <w:sz w:val="28"/>
          <w:szCs w:val="28"/>
          <w:lang w:eastAsia="uk-UA"/>
        </w:rPr>
        <w:t xml:space="preserve">постановою Кабінету Міністрів України від 13.06.2023 № 601 (зі змінами), Порядок </w:t>
      </w:r>
      <w:r w:rsidRPr="00EC585E">
        <w:rPr>
          <w:sz w:val="28"/>
          <w:szCs w:val="28"/>
          <w:shd w:val="clear" w:color="auto" w:fill="FFFFFF"/>
          <w:lang w:eastAsia="uk-UA"/>
        </w:rPr>
        <w:t xml:space="preserve">реалізації експериментального проекту з удосконалення порядку взяття на облік ветеранів війни і надання їм пільг на оплату житлово-комунальних послуг, придбання твердого палива і скрапленого газу, затверджений постановою Кабінету Міністрів України від </w:t>
      </w:r>
      <w:r w:rsidRPr="00EC585E">
        <w:rPr>
          <w:sz w:val="28"/>
          <w:szCs w:val="28"/>
          <w:lang w:eastAsia="uk-UA"/>
        </w:rPr>
        <w:t>27.12.2023 № 1395 (зі змінами).</w:t>
      </w:r>
    </w:p>
    <w:p w:rsidR="00B840DD" w:rsidRPr="00EC585E" w:rsidRDefault="00B840DD" w:rsidP="00B840DD">
      <w:pPr>
        <w:suppressAutoHyphens w:val="0"/>
        <w:ind w:firstLine="709"/>
        <w:jc w:val="both"/>
        <w:rPr>
          <w:color w:val="auto"/>
          <w:sz w:val="24"/>
          <w:szCs w:val="24"/>
          <w:lang w:eastAsia="uk-UA"/>
        </w:rPr>
      </w:pPr>
    </w:p>
    <w:p w:rsidR="00B840DD" w:rsidRPr="00EC585E" w:rsidRDefault="00B840DD" w:rsidP="00B840DD">
      <w:pPr>
        <w:suppressAutoHyphens w:val="0"/>
        <w:ind w:firstLine="709"/>
        <w:jc w:val="both"/>
        <w:rPr>
          <w:color w:val="auto"/>
          <w:sz w:val="24"/>
          <w:szCs w:val="24"/>
          <w:lang w:eastAsia="uk-UA"/>
        </w:rPr>
      </w:pPr>
      <w:r w:rsidRPr="00EC585E">
        <w:rPr>
          <w:b/>
          <w:bCs/>
          <w:sz w:val="28"/>
          <w:szCs w:val="28"/>
          <w:lang w:eastAsia="uk-UA"/>
        </w:rPr>
        <w:t>5. Фінансово-економічне обґрунтування</w:t>
      </w:r>
    </w:p>
    <w:p w:rsidR="00B840DD" w:rsidRDefault="00B840DD" w:rsidP="00B840DD">
      <w:pPr>
        <w:suppressAutoHyphens w:val="0"/>
        <w:ind w:firstLine="709"/>
        <w:jc w:val="both"/>
        <w:rPr>
          <w:sz w:val="28"/>
          <w:szCs w:val="28"/>
          <w:shd w:val="clear" w:color="auto" w:fill="FFFFFF"/>
          <w:lang w:eastAsia="uk-UA"/>
        </w:rPr>
      </w:pPr>
      <w:r w:rsidRPr="00EC585E">
        <w:rPr>
          <w:sz w:val="28"/>
          <w:szCs w:val="28"/>
          <w:lang w:eastAsia="uk-UA"/>
        </w:rPr>
        <w:t>Реалізація акта не потребуватиме додаткових видатків з державного чи місцевих бюджетів і забезпечуватиметься за рахунок та в межах коштів бюджетної програми КПКВК 2506110 „</w:t>
      </w:r>
      <w:r w:rsidRPr="00EC585E">
        <w:rPr>
          <w:sz w:val="28"/>
          <w:szCs w:val="28"/>
          <w:shd w:val="clear" w:color="auto" w:fill="FFFFFF"/>
          <w:lang w:eastAsia="uk-UA"/>
        </w:rPr>
        <w:t>Виплата житлових субсидій та пільг громадянам на оплату житлово-комунальних послуг, придбання твердого та рідкого пічного побутового палива і скрапленого газу”.</w:t>
      </w:r>
    </w:p>
    <w:p w:rsidR="00B840DD" w:rsidRPr="00EC585E" w:rsidRDefault="00B840DD" w:rsidP="00B840DD">
      <w:pPr>
        <w:suppressAutoHyphens w:val="0"/>
        <w:ind w:firstLine="709"/>
        <w:jc w:val="both"/>
        <w:rPr>
          <w:color w:val="auto"/>
          <w:sz w:val="24"/>
          <w:szCs w:val="24"/>
          <w:lang w:eastAsia="uk-UA"/>
        </w:rPr>
      </w:pPr>
    </w:p>
    <w:p w:rsidR="00B840DD" w:rsidRPr="00EC585E" w:rsidRDefault="00B840DD" w:rsidP="00B840DD">
      <w:pPr>
        <w:suppressAutoHyphens w:val="0"/>
        <w:ind w:firstLine="709"/>
        <w:jc w:val="both"/>
        <w:rPr>
          <w:color w:val="auto"/>
          <w:sz w:val="24"/>
          <w:szCs w:val="24"/>
          <w:lang w:eastAsia="uk-UA"/>
        </w:rPr>
      </w:pPr>
      <w:r w:rsidRPr="00EC585E">
        <w:rPr>
          <w:b/>
          <w:bCs/>
          <w:sz w:val="28"/>
          <w:szCs w:val="28"/>
          <w:shd w:val="clear" w:color="auto" w:fill="FFFFFF"/>
          <w:lang w:eastAsia="uk-UA"/>
        </w:rPr>
        <w:t>6. Позиція заінтересованих сторін</w:t>
      </w:r>
    </w:p>
    <w:p w:rsidR="00B840DD" w:rsidRPr="00EC585E" w:rsidRDefault="00B840DD" w:rsidP="00B840DD">
      <w:pPr>
        <w:suppressAutoHyphens w:val="0"/>
        <w:ind w:firstLine="720"/>
        <w:jc w:val="both"/>
        <w:rPr>
          <w:color w:val="auto"/>
          <w:sz w:val="24"/>
          <w:szCs w:val="24"/>
          <w:lang w:eastAsia="uk-UA"/>
        </w:rPr>
      </w:pPr>
      <w:r w:rsidRPr="00EC585E">
        <w:rPr>
          <w:sz w:val="28"/>
          <w:szCs w:val="28"/>
          <w:lang w:eastAsia="uk-UA"/>
        </w:rPr>
        <w:t>Проект акта потребує погодження Міністерством економіки України, Міністерством фінансів України, Міністерством розвитку громад та територій України, Міністерством цифрової трансформації України,  Міністерством у справах ветеранів України, Пенсійним фондом України, Уповноваженим Верховної Ради України з прав людини, Національною соціальною сервісною службою України.</w:t>
      </w:r>
    </w:p>
    <w:p w:rsidR="00B840DD" w:rsidRPr="00EC585E" w:rsidRDefault="00B840DD" w:rsidP="00B840DD">
      <w:pPr>
        <w:suppressAutoHyphens w:val="0"/>
        <w:ind w:firstLine="709"/>
        <w:jc w:val="both"/>
        <w:rPr>
          <w:color w:val="auto"/>
          <w:sz w:val="24"/>
          <w:szCs w:val="24"/>
          <w:lang w:eastAsia="uk-UA"/>
        </w:rPr>
      </w:pPr>
      <w:r w:rsidRPr="00EC585E">
        <w:rPr>
          <w:sz w:val="28"/>
          <w:szCs w:val="28"/>
          <w:lang w:eastAsia="uk-UA"/>
        </w:rPr>
        <w:t>Проект акта стосується соціально-трудової сфери та потребує погодження Спільним представницьким органом репрезентативних всеукраїнських об’єднань профспілок на національному рівні та Спільним представницьким органом сторони роботодавців на національному рівні.</w:t>
      </w:r>
    </w:p>
    <w:p w:rsidR="00B840DD" w:rsidRPr="00EC585E" w:rsidRDefault="00B840DD" w:rsidP="00B840DD">
      <w:pPr>
        <w:suppressAutoHyphens w:val="0"/>
        <w:ind w:firstLine="709"/>
        <w:jc w:val="both"/>
        <w:rPr>
          <w:color w:val="auto"/>
          <w:sz w:val="24"/>
          <w:szCs w:val="24"/>
          <w:lang w:eastAsia="uk-UA"/>
        </w:rPr>
      </w:pPr>
      <w:r w:rsidRPr="00EC585E">
        <w:rPr>
          <w:sz w:val="28"/>
          <w:szCs w:val="28"/>
          <w:lang w:eastAsia="uk-UA"/>
        </w:rPr>
        <w:t xml:space="preserve">Проект акта стосується прав осіб з інвалідністю та потребує погодження Урядовим уповноваженим з прав осіб з інвалідністю, Всеукраїнською спілкою </w:t>
      </w:r>
      <w:r w:rsidRPr="00EC585E">
        <w:rPr>
          <w:sz w:val="28"/>
          <w:szCs w:val="28"/>
          <w:lang w:eastAsia="uk-UA"/>
        </w:rPr>
        <w:lastRenderedPageBreak/>
        <w:t>громадських організацій „Конфедерація громадських організацій інвалідів Україниˮ.</w:t>
      </w:r>
    </w:p>
    <w:p w:rsidR="00B840DD" w:rsidRPr="00EC585E" w:rsidRDefault="00B840DD" w:rsidP="00B840DD">
      <w:pPr>
        <w:suppressAutoHyphens w:val="0"/>
        <w:ind w:firstLine="709"/>
        <w:jc w:val="both"/>
        <w:rPr>
          <w:color w:val="auto"/>
          <w:sz w:val="24"/>
          <w:szCs w:val="24"/>
          <w:lang w:eastAsia="uk-UA"/>
        </w:rPr>
      </w:pPr>
      <w:r w:rsidRPr="00EC585E">
        <w:rPr>
          <w:sz w:val="28"/>
          <w:szCs w:val="28"/>
          <w:lang w:eastAsia="uk-UA"/>
        </w:rPr>
        <w:t>Проект акта потребує проведення правової експертизи Міністерством юстиції та визначення необхідності проведення антикорупційної експертизи Національним агентством з питань запобігання корупції.</w:t>
      </w:r>
    </w:p>
    <w:p w:rsidR="00B840DD" w:rsidRPr="00EC585E" w:rsidRDefault="00B840DD" w:rsidP="00B840DD">
      <w:pPr>
        <w:suppressAutoHyphens w:val="0"/>
        <w:ind w:firstLine="709"/>
        <w:jc w:val="both"/>
        <w:rPr>
          <w:color w:val="auto"/>
          <w:sz w:val="24"/>
          <w:szCs w:val="24"/>
          <w:lang w:eastAsia="uk-UA"/>
        </w:rPr>
      </w:pPr>
      <w:r w:rsidRPr="00EC585E">
        <w:rPr>
          <w:sz w:val="28"/>
          <w:szCs w:val="28"/>
          <w:lang w:eastAsia="uk-UA"/>
        </w:rPr>
        <w:t>Проект акта не стосується питань функціонування місцевого самоврядування, прав та інтересів територіальних громад, сфери наукової та науково-технічної діяльності, функціонування і застосування української мови як державної та не потребує погодження уповноваженими представниками всеукраїнських асоціацій органів місцевого самоврядування чи відповідних органів місцевого самоврядування, Науковим комітетом Національної ради України з питань розвитку науки і технологій, Уповноваженим із захисту державної мови.</w:t>
      </w:r>
    </w:p>
    <w:p w:rsidR="00B840DD" w:rsidRDefault="00B840DD" w:rsidP="00B840DD">
      <w:pPr>
        <w:suppressAutoHyphens w:val="0"/>
        <w:ind w:firstLine="709"/>
        <w:jc w:val="both"/>
        <w:rPr>
          <w:sz w:val="28"/>
          <w:szCs w:val="28"/>
          <w:lang w:eastAsia="uk-UA"/>
        </w:rPr>
      </w:pPr>
      <w:r w:rsidRPr="00EC585E">
        <w:rPr>
          <w:sz w:val="28"/>
          <w:szCs w:val="28"/>
          <w:lang w:eastAsia="uk-UA"/>
        </w:rPr>
        <w:t>З метою проведення консультацій з громадськістю проект акта розміщено на офіційному веб-сайті Міністерства соціальної політики. Також проект акта потребує розгляду Громадською радою при Мінсоцполітики.</w:t>
      </w:r>
    </w:p>
    <w:p w:rsidR="00B840DD" w:rsidRPr="00EC585E" w:rsidRDefault="00B840DD" w:rsidP="00B840DD">
      <w:pPr>
        <w:suppressAutoHyphens w:val="0"/>
        <w:ind w:firstLine="709"/>
        <w:jc w:val="both"/>
        <w:rPr>
          <w:color w:val="auto"/>
          <w:sz w:val="24"/>
          <w:szCs w:val="24"/>
          <w:lang w:eastAsia="uk-UA"/>
        </w:rPr>
      </w:pPr>
    </w:p>
    <w:p w:rsidR="00B840DD" w:rsidRPr="00EC585E" w:rsidRDefault="00B840DD" w:rsidP="00B840DD">
      <w:pPr>
        <w:suppressAutoHyphens w:val="0"/>
        <w:ind w:firstLine="720"/>
        <w:jc w:val="both"/>
        <w:rPr>
          <w:color w:val="auto"/>
          <w:sz w:val="24"/>
          <w:szCs w:val="24"/>
          <w:lang w:eastAsia="uk-UA"/>
        </w:rPr>
      </w:pPr>
      <w:r w:rsidRPr="00EC585E">
        <w:rPr>
          <w:b/>
          <w:bCs/>
          <w:sz w:val="28"/>
          <w:szCs w:val="28"/>
          <w:lang w:eastAsia="uk-UA"/>
        </w:rPr>
        <w:t>7. Оцінка відповідності</w:t>
      </w:r>
    </w:p>
    <w:p w:rsidR="00B840DD" w:rsidRPr="00EC585E" w:rsidRDefault="00B840DD" w:rsidP="00B840DD">
      <w:pPr>
        <w:suppressAutoHyphens w:val="0"/>
        <w:ind w:firstLine="720"/>
        <w:jc w:val="both"/>
        <w:rPr>
          <w:color w:val="auto"/>
          <w:sz w:val="24"/>
          <w:szCs w:val="24"/>
          <w:lang w:eastAsia="uk-UA"/>
        </w:rPr>
      </w:pPr>
      <w:r w:rsidRPr="00EC585E">
        <w:rPr>
          <w:sz w:val="28"/>
          <w:szCs w:val="28"/>
          <w:lang w:eastAsia="uk-UA"/>
        </w:rPr>
        <w:t>У проекті акта відсутні положення, що стосуються зобов’язань України 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містять ризики вчинення корупційних правопорушень та правопорушень, пов’язаних із корупцією, створюють підстави для дискримінації.</w:t>
      </w:r>
    </w:p>
    <w:p w:rsidR="00B840DD" w:rsidRDefault="00B840DD" w:rsidP="00B840DD">
      <w:pPr>
        <w:suppressAutoHyphens w:val="0"/>
        <w:ind w:firstLine="709"/>
        <w:jc w:val="both"/>
        <w:rPr>
          <w:sz w:val="28"/>
          <w:szCs w:val="28"/>
          <w:lang w:eastAsia="uk-UA"/>
        </w:rPr>
      </w:pPr>
      <w:r w:rsidRPr="00EC585E">
        <w:rPr>
          <w:sz w:val="28"/>
          <w:szCs w:val="28"/>
          <w:lang w:eastAsia="uk-UA"/>
        </w:rPr>
        <w:t>Проект акта потребує проведення експертизи на відповідність зобов’язанням України у сфері європейської інтеграції, у тому числі міжнародно-правовим, та праву Європейського Союзу (acquis ЄС) – Урядовим офісом координації європейської та євроатлантичної інтеграції Секретаріату Кабінету Міністрів. </w:t>
      </w:r>
    </w:p>
    <w:p w:rsidR="00B840DD" w:rsidRPr="00EC585E" w:rsidRDefault="00B840DD" w:rsidP="00B840DD">
      <w:pPr>
        <w:suppressAutoHyphens w:val="0"/>
        <w:ind w:firstLine="709"/>
        <w:jc w:val="both"/>
        <w:rPr>
          <w:color w:val="auto"/>
          <w:sz w:val="24"/>
          <w:szCs w:val="24"/>
          <w:lang w:eastAsia="uk-UA"/>
        </w:rPr>
      </w:pPr>
    </w:p>
    <w:p w:rsidR="00B840DD" w:rsidRPr="00EC585E" w:rsidRDefault="00B840DD" w:rsidP="00B840DD">
      <w:pPr>
        <w:suppressAutoHyphens w:val="0"/>
        <w:ind w:firstLine="709"/>
        <w:jc w:val="both"/>
        <w:rPr>
          <w:color w:val="auto"/>
          <w:sz w:val="24"/>
          <w:szCs w:val="24"/>
          <w:lang w:eastAsia="uk-UA"/>
        </w:rPr>
      </w:pPr>
      <w:r w:rsidRPr="00EC585E">
        <w:rPr>
          <w:b/>
          <w:bCs/>
          <w:sz w:val="28"/>
          <w:szCs w:val="28"/>
          <w:lang w:eastAsia="uk-UA"/>
        </w:rPr>
        <w:t>8. Прогноз результатів</w:t>
      </w:r>
    </w:p>
    <w:p w:rsidR="00B840DD" w:rsidRPr="00EC585E" w:rsidRDefault="00B840DD" w:rsidP="00B840DD">
      <w:pPr>
        <w:suppressAutoHyphens w:val="0"/>
        <w:ind w:firstLine="709"/>
        <w:jc w:val="both"/>
        <w:rPr>
          <w:color w:val="auto"/>
          <w:sz w:val="24"/>
          <w:szCs w:val="24"/>
          <w:lang w:eastAsia="uk-UA"/>
        </w:rPr>
      </w:pPr>
      <w:r w:rsidRPr="00EC585E">
        <w:rPr>
          <w:sz w:val="28"/>
          <w:szCs w:val="28"/>
          <w:lang w:eastAsia="uk-UA"/>
        </w:rPr>
        <w:t>Основним очікуваним результатом реалізації акта є удосконалення порядку призначення та надання житлових субсидій та внесення інформації до Реєстру і надання пільг за спрощеними процедурами. </w:t>
      </w:r>
    </w:p>
    <w:p w:rsidR="00B840DD" w:rsidRPr="00EC585E" w:rsidRDefault="00B840DD" w:rsidP="00B840DD">
      <w:pPr>
        <w:suppressAutoHyphens w:val="0"/>
        <w:ind w:firstLine="709"/>
        <w:jc w:val="both"/>
        <w:rPr>
          <w:color w:val="auto"/>
          <w:sz w:val="24"/>
          <w:szCs w:val="24"/>
          <w:lang w:eastAsia="uk-UA"/>
        </w:rPr>
      </w:pPr>
      <w:r w:rsidRPr="00EC585E">
        <w:rPr>
          <w:sz w:val="28"/>
          <w:szCs w:val="28"/>
          <w:lang w:eastAsia="uk-UA"/>
        </w:rPr>
        <w:t>Реалізація акта матиме вплив на інтереси отримувачів житлових субсидій та пільг</w:t>
      </w:r>
    </w:p>
    <w:tbl>
      <w:tblPr>
        <w:tblW w:w="0" w:type="auto"/>
        <w:tblCellMar>
          <w:top w:w="15" w:type="dxa"/>
          <w:left w:w="15" w:type="dxa"/>
          <w:bottom w:w="15" w:type="dxa"/>
          <w:right w:w="15" w:type="dxa"/>
        </w:tblCellMar>
        <w:tblLook w:val="04A0" w:firstRow="1" w:lastRow="0" w:firstColumn="1" w:lastColumn="0" w:noHBand="0" w:noVBand="1"/>
      </w:tblPr>
      <w:tblGrid>
        <w:gridCol w:w="3291"/>
        <w:gridCol w:w="3385"/>
        <w:gridCol w:w="2943"/>
      </w:tblGrid>
      <w:tr w:rsidR="00B840DD" w:rsidRPr="003079F3" w:rsidTr="00053BED">
        <w:trPr>
          <w:trHeight w:val="1215"/>
        </w:trPr>
        <w:tc>
          <w:tcPr>
            <w:tcW w:w="339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B840DD" w:rsidRPr="003079F3" w:rsidRDefault="00B840DD" w:rsidP="00053BED">
            <w:pPr>
              <w:spacing w:before="240" w:after="240"/>
              <w:jc w:val="center"/>
              <w:rPr>
                <w:sz w:val="24"/>
                <w:szCs w:val="24"/>
              </w:rPr>
            </w:pPr>
            <w:r w:rsidRPr="003079F3">
              <w:rPr>
                <w:sz w:val="28"/>
                <w:szCs w:val="28"/>
              </w:rPr>
              <w:t>Заінтересована сторона</w:t>
            </w:r>
          </w:p>
        </w:tc>
        <w:tc>
          <w:tcPr>
            <w:tcW w:w="355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B840DD" w:rsidRPr="003079F3" w:rsidRDefault="00B840DD" w:rsidP="00053BED">
            <w:pPr>
              <w:spacing w:before="240" w:after="240"/>
              <w:jc w:val="center"/>
              <w:rPr>
                <w:sz w:val="24"/>
                <w:szCs w:val="24"/>
              </w:rPr>
            </w:pPr>
            <w:r w:rsidRPr="003079F3">
              <w:rPr>
                <w:sz w:val="28"/>
                <w:szCs w:val="28"/>
              </w:rPr>
              <w:t>Вплив реалізації акта на заінтересовану сторону</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B840DD" w:rsidRPr="003079F3" w:rsidRDefault="00B840DD" w:rsidP="00053BED">
            <w:pPr>
              <w:spacing w:before="240" w:after="240"/>
              <w:jc w:val="center"/>
              <w:rPr>
                <w:sz w:val="24"/>
                <w:szCs w:val="24"/>
              </w:rPr>
            </w:pPr>
            <w:r w:rsidRPr="003079F3">
              <w:rPr>
                <w:sz w:val="28"/>
                <w:szCs w:val="28"/>
              </w:rPr>
              <w:t>Пояснення очікуваного впливу</w:t>
            </w:r>
          </w:p>
        </w:tc>
      </w:tr>
      <w:tr w:rsidR="00B840DD" w:rsidRPr="003079F3" w:rsidTr="00053BED">
        <w:trPr>
          <w:trHeight w:val="1620"/>
        </w:trPr>
        <w:tc>
          <w:tcPr>
            <w:tcW w:w="3392" w:type="dxa"/>
            <w:tcBorders>
              <w:top w:val="single" w:sz="8" w:space="0" w:color="000000"/>
              <w:left w:val="single" w:sz="8" w:space="0" w:color="232323"/>
              <w:bottom w:val="single" w:sz="8" w:space="0" w:color="000000"/>
              <w:right w:val="single" w:sz="8" w:space="0" w:color="232323"/>
            </w:tcBorders>
            <w:tcMar>
              <w:top w:w="0" w:type="dxa"/>
              <w:left w:w="100" w:type="dxa"/>
              <w:bottom w:w="0" w:type="dxa"/>
              <w:right w:w="100" w:type="dxa"/>
            </w:tcMar>
            <w:hideMark/>
          </w:tcPr>
          <w:p w:rsidR="00B840DD" w:rsidRDefault="00B840DD" w:rsidP="00053BED">
            <w:pPr>
              <w:pStyle w:val="a3"/>
              <w:spacing w:before="0" w:beforeAutospacing="0" w:after="0" w:afterAutospacing="0"/>
              <w:jc w:val="both"/>
            </w:pPr>
            <w:r>
              <w:rPr>
                <w:color w:val="000000"/>
                <w:sz w:val="28"/>
                <w:szCs w:val="28"/>
              </w:rPr>
              <w:t>Потенційні отримувачі житлової субсидії</w:t>
            </w:r>
          </w:p>
        </w:tc>
        <w:tc>
          <w:tcPr>
            <w:tcW w:w="3558" w:type="dxa"/>
            <w:tcBorders>
              <w:top w:val="single" w:sz="8" w:space="0" w:color="000000"/>
              <w:left w:val="single" w:sz="8" w:space="0" w:color="232323"/>
              <w:bottom w:val="single" w:sz="8" w:space="0" w:color="000000"/>
              <w:right w:val="single" w:sz="8" w:space="0" w:color="232323"/>
            </w:tcBorders>
            <w:tcMar>
              <w:top w:w="0" w:type="dxa"/>
              <w:left w:w="100" w:type="dxa"/>
              <w:bottom w:w="0" w:type="dxa"/>
              <w:right w:w="100" w:type="dxa"/>
            </w:tcMar>
            <w:hideMark/>
          </w:tcPr>
          <w:p w:rsidR="00B840DD" w:rsidRDefault="00B840DD" w:rsidP="00053BED">
            <w:pPr>
              <w:pStyle w:val="a3"/>
              <w:spacing w:before="0" w:beforeAutospacing="0" w:after="0" w:afterAutospacing="0"/>
              <w:jc w:val="both"/>
            </w:pPr>
            <w:r>
              <w:rPr>
                <w:color w:val="000000"/>
                <w:sz w:val="28"/>
                <w:szCs w:val="28"/>
              </w:rPr>
              <w:t>Спрощення процедури звернення за житловою субсидією</w:t>
            </w:r>
          </w:p>
          <w:p w:rsidR="00B840DD" w:rsidRDefault="00B840DD" w:rsidP="00053BED">
            <w:pPr>
              <w:pStyle w:val="a3"/>
              <w:spacing w:before="0" w:beforeAutospacing="0" w:after="0" w:afterAutospacing="0"/>
              <w:ind w:firstLine="709"/>
              <w:jc w:val="center"/>
            </w:pPr>
            <w:r>
              <w:rPr>
                <w:color w:val="000000"/>
                <w:sz w:val="28"/>
                <w:szCs w:val="28"/>
              </w:rPr>
              <w:t> </w:t>
            </w:r>
          </w:p>
        </w:tc>
        <w:tc>
          <w:tcPr>
            <w:tcW w:w="0" w:type="auto"/>
            <w:tcBorders>
              <w:top w:val="single" w:sz="8" w:space="0" w:color="000000"/>
              <w:left w:val="single" w:sz="8" w:space="0" w:color="232323"/>
              <w:bottom w:val="single" w:sz="8" w:space="0" w:color="000000"/>
              <w:right w:val="single" w:sz="8" w:space="0" w:color="232323"/>
            </w:tcBorders>
            <w:tcMar>
              <w:top w:w="0" w:type="dxa"/>
              <w:left w:w="100" w:type="dxa"/>
              <w:bottom w:w="0" w:type="dxa"/>
              <w:right w:w="100" w:type="dxa"/>
            </w:tcMar>
            <w:hideMark/>
          </w:tcPr>
          <w:p w:rsidR="00B840DD" w:rsidRDefault="00B840DD" w:rsidP="00053BED">
            <w:pPr>
              <w:pStyle w:val="a3"/>
              <w:spacing w:before="0" w:beforeAutospacing="0" w:after="0" w:afterAutospacing="0"/>
              <w:jc w:val="both"/>
            </w:pPr>
            <w:r>
              <w:rPr>
                <w:color w:val="000000"/>
                <w:sz w:val="28"/>
                <w:szCs w:val="28"/>
              </w:rPr>
              <w:t xml:space="preserve">Можливість отримання житлової субсидії домогосподарствами за спрощеною процедурою і мінімізація відмов за </w:t>
            </w:r>
            <w:r>
              <w:rPr>
                <w:color w:val="000000"/>
                <w:sz w:val="28"/>
                <w:szCs w:val="28"/>
              </w:rPr>
              <w:lastRenderedPageBreak/>
              <w:t>рахунок передбачення надання в заяві інформації про надавачів житлово-комунальних послуг</w:t>
            </w:r>
          </w:p>
        </w:tc>
      </w:tr>
      <w:tr w:rsidR="00B840DD" w:rsidRPr="003079F3" w:rsidTr="00053BED">
        <w:trPr>
          <w:trHeight w:val="1620"/>
        </w:trPr>
        <w:tc>
          <w:tcPr>
            <w:tcW w:w="3392" w:type="dxa"/>
            <w:tcBorders>
              <w:top w:val="single" w:sz="8" w:space="0" w:color="000000"/>
              <w:left w:val="single" w:sz="8" w:space="0" w:color="232323"/>
              <w:bottom w:val="single" w:sz="8" w:space="0" w:color="000000"/>
              <w:right w:val="single" w:sz="8" w:space="0" w:color="232323"/>
            </w:tcBorders>
            <w:tcMar>
              <w:top w:w="0" w:type="dxa"/>
              <w:left w:w="100" w:type="dxa"/>
              <w:bottom w:w="0" w:type="dxa"/>
              <w:right w:w="100" w:type="dxa"/>
            </w:tcMar>
          </w:tcPr>
          <w:p w:rsidR="00B840DD" w:rsidRDefault="00B840DD" w:rsidP="00053BED">
            <w:pPr>
              <w:pStyle w:val="a3"/>
              <w:spacing w:before="0" w:beforeAutospacing="0" w:after="0" w:afterAutospacing="0"/>
              <w:jc w:val="both"/>
            </w:pPr>
            <w:r>
              <w:rPr>
                <w:color w:val="000000"/>
                <w:sz w:val="28"/>
                <w:szCs w:val="28"/>
              </w:rPr>
              <w:lastRenderedPageBreak/>
              <w:t>Ветерани війни, ветерани війни, які потрапили у</w:t>
            </w:r>
            <w:r>
              <w:rPr>
                <w:b/>
                <w:bCs/>
                <w:color w:val="000000"/>
                <w:sz w:val="28"/>
                <w:szCs w:val="28"/>
              </w:rPr>
              <w:t xml:space="preserve"> </w:t>
            </w:r>
            <w:r>
              <w:rPr>
                <w:color w:val="000000"/>
                <w:sz w:val="28"/>
                <w:szCs w:val="28"/>
              </w:rPr>
              <w:t>полон держави-агресора або зникли безвісти за особливих обставин,  та члени              їхніх сімей, на яких поширюються / не поширюються пільги</w:t>
            </w:r>
          </w:p>
        </w:tc>
        <w:tc>
          <w:tcPr>
            <w:tcW w:w="3558" w:type="dxa"/>
            <w:tcBorders>
              <w:top w:val="single" w:sz="8" w:space="0" w:color="000000"/>
              <w:left w:val="single" w:sz="8" w:space="0" w:color="232323"/>
              <w:bottom w:val="single" w:sz="8" w:space="0" w:color="000000"/>
              <w:right w:val="single" w:sz="8" w:space="0" w:color="232323"/>
            </w:tcBorders>
            <w:tcMar>
              <w:top w:w="0" w:type="dxa"/>
              <w:left w:w="100" w:type="dxa"/>
              <w:bottom w:w="0" w:type="dxa"/>
              <w:right w:w="100" w:type="dxa"/>
            </w:tcMar>
          </w:tcPr>
          <w:p w:rsidR="00B840DD" w:rsidRDefault="00B840DD" w:rsidP="00053BED">
            <w:pPr>
              <w:pStyle w:val="a3"/>
              <w:spacing w:before="0" w:beforeAutospacing="0" w:after="0" w:afterAutospacing="0"/>
            </w:pPr>
            <w:r>
              <w:rPr>
                <w:color w:val="000000"/>
                <w:sz w:val="28"/>
                <w:szCs w:val="28"/>
              </w:rPr>
              <w:t>Спрощення</w:t>
            </w:r>
            <w:r>
              <w:rPr>
                <w:rStyle w:val="apple-tab-span"/>
                <w:rFonts w:eastAsiaTheme="minorHAnsi"/>
                <w:color w:val="000000"/>
                <w:sz w:val="28"/>
                <w:szCs w:val="28"/>
              </w:rPr>
              <w:tab/>
            </w:r>
            <w:r>
              <w:rPr>
                <w:color w:val="000000"/>
                <w:sz w:val="28"/>
                <w:szCs w:val="28"/>
              </w:rPr>
              <w:t>взяття</w:t>
            </w:r>
            <w:r>
              <w:rPr>
                <w:rStyle w:val="apple-tab-span"/>
                <w:rFonts w:eastAsiaTheme="minorHAnsi"/>
                <w:color w:val="000000"/>
                <w:sz w:val="28"/>
                <w:szCs w:val="28"/>
              </w:rPr>
              <w:tab/>
            </w:r>
            <w:r>
              <w:rPr>
                <w:color w:val="000000"/>
                <w:sz w:val="28"/>
                <w:szCs w:val="28"/>
              </w:rPr>
              <w:t>на облік і надання пільг</w:t>
            </w:r>
          </w:p>
        </w:tc>
        <w:tc>
          <w:tcPr>
            <w:tcW w:w="0" w:type="auto"/>
            <w:tcBorders>
              <w:top w:val="single" w:sz="8" w:space="0" w:color="000000"/>
              <w:left w:val="single" w:sz="8" w:space="0" w:color="232323"/>
              <w:bottom w:val="single" w:sz="8" w:space="0" w:color="000000"/>
              <w:right w:val="single" w:sz="8" w:space="0" w:color="232323"/>
            </w:tcBorders>
            <w:tcMar>
              <w:top w:w="0" w:type="dxa"/>
              <w:left w:w="100" w:type="dxa"/>
              <w:bottom w:w="0" w:type="dxa"/>
              <w:right w:w="100" w:type="dxa"/>
            </w:tcMar>
          </w:tcPr>
          <w:p w:rsidR="00B840DD" w:rsidRDefault="00B840DD" w:rsidP="00053BED">
            <w:pPr>
              <w:pStyle w:val="a3"/>
              <w:spacing w:before="0" w:beforeAutospacing="0" w:after="0" w:afterAutospacing="0"/>
              <w:jc w:val="both"/>
            </w:pPr>
            <w:r>
              <w:rPr>
                <w:color w:val="000000"/>
                <w:sz w:val="28"/>
                <w:szCs w:val="28"/>
              </w:rPr>
              <w:t>Можливість  реалізації</w:t>
            </w:r>
          </w:p>
          <w:p w:rsidR="00B840DD" w:rsidRDefault="00B840DD" w:rsidP="00053BED">
            <w:pPr>
              <w:pStyle w:val="a3"/>
              <w:spacing w:before="0" w:beforeAutospacing="0" w:after="0" w:afterAutospacing="0"/>
              <w:jc w:val="both"/>
            </w:pPr>
            <w:r>
              <w:rPr>
                <w:color w:val="000000"/>
                <w:sz w:val="28"/>
                <w:szCs w:val="28"/>
              </w:rPr>
              <w:t>ветеранами війни, або ветеранами війни, які потрапили в полон держави-агресора або зникли безвісти за особливих обставин, та членами їхніх сімей права на отримання передбачених законодавством</w:t>
            </w:r>
          </w:p>
          <w:p w:rsidR="00B840DD" w:rsidRDefault="00B840DD" w:rsidP="00053BED">
            <w:pPr>
              <w:pStyle w:val="a3"/>
              <w:spacing w:before="0" w:beforeAutospacing="0" w:after="0" w:afterAutospacing="0"/>
              <w:jc w:val="both"/>
            </w:pPr>
            <w:r>
              <w:rPr>
                <w:color w:val="000000"/>
                <w:sz w:val="28"/>
                <w:szCs w:val="28"/>
              </w:rPr>
              <w:t>державних гарантій</w:t>
            </w:r>
          </w:p>
        </w:tc>
      </w:tr>
    </w:tbl>
    <w:p w:rsidR="00B840DD" w:rsidRDefault="00B840DD" w:rsidP="00B840DD">
      <w:pPr>
        <w:widowControl w:val="0"/>
        <w:ind w:firstLine="709"/>
        <w:jc w:val="both"/>
        <w:rPr>
          <w:sz w:val="28"/>
          <w:szCs w:val="28"/>
          <w:highlight w:val="cyan"/>
        </w:rPr>
      </w:pPr>
    </w:p>
    <w:p w:rsidR="00B840DD" w:rsidRPr="00F8430A" w:rsidRDefault="00B840DD" w:rsidP="00B840DD">
      <w:pPr>
        <w:widowControl w:val="0"/>
        <w:ind w:firstLine="709"/>
        <w:jc w:val="both"/>
        <w:rPr>
          <w:sz w:val="28"/>
          <w:szCs w:val="28"/>
          <w:highlight w:val="cyan"/>
        </w:rPr>
      </w:pPr>
    </w:p>
    <w:p w:rsidR="00B840DD" w:rsidRPr="00FE7039" w:rsidRDefault="00B840DD" w:rsidP="00B840DD">
      <w:pPr>
        <w:keepNext/>
        <w:keepLines/>
        <w:suppressAutoHyphens w:val="0"/>
        <w:rPr>
          <w:b/>
          <w:color w:val="auto"/>
          <w:sz w:val="28"/>
          <w:szCs w:val="28"/>
          <w:lang w:eastAsia="uk-UA"/>
        </w:rPr>
      </w:pPr>
      <w:r w:rsidRPr="00FE7039">
        <w:rPr>
          <w:b/>
          <w:color w:val="auto"/>
          <w:sz w:val="28"/>
          <w:szCs w:val="28"/>
          <w:lang w:eastAsia="uk-UA"/>
        </w:rPr>
        <w:t xml:space="preserve">Міністр соціальної політики України </w:t>
      </w:r>
      <w:bookmarkStart w:id="0" w:name="_GoBack"/>
      <w:bookmarkEnd w:id="0"/>
      <w:r w:rsidRPr="00FE7039">
        <w:rPr>
          <w:b/>
          <w:color w:val="auto"/>
          <w:sz w:val="28"/>
          <w:szCs w:val="28"/>
          <w:lang w:eastAsia="uk-UA"/>
        </w:rPr>
        <w:t xml:space="preserve">                             Оксана ЖОЛНОВИЧ</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188"/>
        <w:gridCol w:w="3188"/>
        <w:gridCol w:w="3188"/>
      </w:tblGrid>
      <w:tr w:rsidR="00B840DD" w:rsidTr="00053BED">
        <w:trPr>
          <w:trHeight w:val="772"/>
        </w:trPr>
        <w:tc>
          <w:tcPr>
            <w:tcW w:w="3188" w:type="dxa"/>
          </w:tcPr>
          <w:p w:rsidR="00B840DD" w:rsidRDefault="00B840DD" w:rsidP="00053BED">
            <w:pPr>
              <w:pStyle w:val="Default"/>
              <w:rPr>
                <w:sz w:val="28"/>
                <w:szCs w:val="28"/>
              </w:rPr>
            </w:pPr>
            <w:r>
              <w:rPr>
                <w:color w:val="auto"/>
                <w:sz w:val="28"/>
                <w:szCs w:val="28"/>
                <w:lang w:eastAsia="uk-UA"/>
              </w:rPr>
              <w:t>____  _________</w:t>
            </w:r>
            <w:r w:rsidRPr="008467CB">
              <w:rPr>
                <w:color w:val="auto"/>
                <w:sz w:val="28"/>
                <w:szCs w:val="28"/>
                <w:lang w:eastAsia="uk-UA"/>
              </w:rPr>
              <w:t xml:space="preserve"> 202</w:t>
            </w:r>
            <w:r>
              <w:rPr>
                <w:color w:val="auto"/>
                <w:sz w:val="28"/>
                <w:szCs w:val="28"/>
                <w:lang w:eastAsia="uk-UA"/>
              </w:rPr>
              <w:t xml:space="preserve">5 </w:t>
            </w:r>
            <w:r w:rsidRPr="008467CB">
              <w:rPr>
                <w:color w:val="auto"/>
                <w:sz w:val="28"/>
                <w:szCs w:val="28"/>
                <w:lang w:eastAsia="uk-UA"/>
              </w:rPr>
              <w:t>р.</w:t>
            </w:r>
          </w:p>
        </w:tc>
        <w:tc>
          <w:tcPr>
            <w:tcW w:w="3188" w:type="dxa"/>
          </w:tcPr>
          <w:p w:rsidR="00B840DD" w:rsidRDefault="00B840DD" w:rsidP="00053BED">
            <w:pPr>
              <w:pStyle w:val="Default"/>
              <w:rPr>
                <w:sz w:val="28"/>
                <w:szCs w:val="28"/>
              </w:rPr>
            </w:pPr>
          </w:p>
        </w:tc>
        <w:tc>
          <w:tcPr>
            <w:tcW w:w="3188" w:type="dxa"/>
          </w:tcPr>
          <w:p w:rsidR="00B840DD" w:rsidRDefault="00B840DD" w:rsidP="00053BED">
            <w:pPr>
              <w:pStyle w:val="Default"/>
              <w:rPr>
                <w:sz w:val="28"/>
                <w:szCs w:val="28"/>
              </w:rPr>
            </w:pPr>
          </w:p>
        </w:tc>
      </w:tr>
    </w:tbl>
    <w:p w:rsidR="00B840DD" w:rsidRDefault="00B840DD" w:rsidP="00B840DD">
      <w:pPr>
        <w:suppressAutoHyphens w:val="0"/>
        <w:rPr>
          <w:color w:val="auto"/>
          <w:sz w:val="28"/>
          <w:szCs w:val="28"/>
          <w:lang w:eastAsia="uk-UA"/>
        </w:rPr>
      </w:pPr>
    </w:p>
    <w:p w:rsidR="00A14677" w:rsidRDefault="00A14677"/>
    <w:sectPr w:rsidR="00A1467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DB7524"/>
    <w:multiLevelType w:val="multilevel"/>
    <w:tmpl w:val="6CC0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DD"/>
    <w:rsid w:val="00A14677"/>
    <w:rsid w:val="00B840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44DB"/>
  <w15:chartTrackingRefBased/>
  <w15:docId w15:val="{7FA0B253-B669-49BE-BDBD-32F4A862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0DD"/>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 Знак,Обычный (веб) Знак Знак Знак Знак Знак Знак Знак,Обычный (веб) Знак Знак Знак Знак Знак Знак"/>
    <w:basedOn w:val="a"/>
    <w:link w:val="a4"/>
    <w:uiPriority w:val="99"/>
    <w:unhideWhenUsed/>
    <w:qFormat/>
    <w:rsid w:val="00B840DD"/>
    <w:pPr>
      <w:suppressAutoHyphens w:val="0"/>
      <w:spacing w:before="100" w:beforeAutospacing="1" w:after="100" w:afterAutospacing="1"/>
    </w:pPr>
    <w:rPr>
      <w:color w:val="auto"/>
      <w:sz w:val="24"/>
      <w:szCs w:val="24"/>
      <w:lang w:eastAsia="uk-UA"/>
    </w:rPr>
  </w:style>
  <w:style w:type="character" w:customStyle="1" w:styleId="a4">
    <w:name w:val="Звичайний (веб) Знак"/>
    <w:aliases w:val="Обычный (веб) Знак Знак Знак Знак,Обычный (веб) Знак Знак Знак Знак Знак Знак Знак Знак,Обычный (веб) Знак Знак Знак Знак Знак Знак Знак1"/>
    <w:link w:val="a3"/>
    <w:uiPriority w:val="99"/>
    <w:locked/>
    <w:rsid w:val="00B840DD"/>
    <w:rPr>
      <w:rFonts w:ascii="Times New Roman" w:eastAsia="Times New Roman" w:hAnsi="Times New Roman" w:cs="Times New Roman"/>
      <w:sz w:val="24"/>
      <w:szCs w:val="24"/>
      <w:lang w:eastAsia="uk-UA"/>
    </w:rPr>
  </w:style>
  <w:style w:type="paragraph" w:customStyle="1" w:styleId="Default">
    <w:name w:val="Default"/>
    <w:rsid w:val="00B840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tab-span">
    <w:name w:val="apple-tab-span"/>
    <w:basedOn w:val="a0"/>
    <w:rsid w:val="00B84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9524</Words>
  <Characters>5430</Characters>
  <Application>Microsoft Office Word</Application>
  <DocSecurity>0</DocSecurity>
  <Lines>45</Lines>
  <Paragraphs>29</Paragraphs>
  <ScaleCrop>false</ScaleCrop>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Городній Валерій</dc:creator>
  <cp:keywords/>
  <dc:description/>
  <cp:lastModifiedBy>Городній Валерій</cp:lastModifiedBy>
  <cp:revision>1</cp:revision>
  <dcterms:created xsi:type="dcterms:W3CDTF">2025-04-15T13:14:00Z</dcterms:created>
  <dcterms:modified xsi:type="dcterms:W3CDTF">2025-04-15T13:15:00Z</dcterms:modified>
</cp:coreProperties>
</file>